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节瓜集约化嫁接育苗技术规程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of practice for</w:t>
      </w:r>
      <w:r>
        <w:rPr>
          <w:rFonts w:hint="eastAsia" w:ascii="黑体" w:hAnsi="黑体" w:eastAsia="黑体"/>
          <w:szCs w:val="28"/>
        </w:rPr>
        <w:t xml:space="preserve"> </w:t>
      </w:r>
      <w:r>
        <w:rPr>
          <w:rFonts w:ascii="黑体" w:hAnsi="黑体" w:eastAsia="黑体"/>
          <w:szCs w:val="28"/>
        </w:rPr>
        <w:t>intensive grafting and seedling raising of Chieh qua</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94"/>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0"/>
        <w:spacing w:after="360"/>
      </w:pPr>
      <w:bookmarkStart w:id="19"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本文件由广西壮族自治区农业科学院蔬菜研究所提出。</w:t>
      </w:r>
    </w:p>
    <w:p>
      <w:pPr>
        <w:pStyle w:val="57"/>
        <w:ind w:firstLine="420"/>
      </w:pPr>
      <w:r>
        <w:rPr>
          <w:rFonts w:hint="eastAsia"/>
        </w:rPr>
        <w:t>本文件起草单位：广西大学、广西壮族自治区农业科学院蔬菜研究所。</w:t>
      </w:r>
    </w:p>
    <w:p>
      <w:pPr>
        <w:pStyle w:val="57"/>
        <w:ind w:firstLine="420"/>
      </w:pPr>
      <w:r>
        <w:rPr>
          <w:rFonts w:hint="eastAsia"/>
        </w:rPr>
        <w:t>本文件主要起草人：</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09AC25DD643E41AE81BCE37B46CADE92"/>
        </w:placeholder>
      </w:sdtPr>
      <w:sdtContent>
        <w:p>
          <w:pPr>
            <w:pStyle w:val="178"/>
            <w:spacing w:beforeLines="182" w:afterLines="220"/>
          </w:pPr>
          <w:bookmarkStart w:id="21" w:name="NEW_STAND_NAME"/>
          <w:r>
            <w:rPr>
              <w:rFonts w:hint="eastAsia"/>
            </w:rPr>
            <w:t>节瓜集约化嫁接育苗技术规程</w:t>
          </w:r>
        </w:p>
      </w:sdtContent>
    </w:sdt>
    <w:bookmarkEnd w:id="21"/>
    <w:p>
      <w:pPr>
        <w:pStyle w:val="105"/>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pPr>
        <w:pStyle w:val="57"/>
        <w:ind w:firstLine="420"/>
      </w:pPr>
      <w:bookmarkStart w:id="30" w:name="_Toc17233326"/>
      <w:bookmarkStart w:id="31" w:name="_Toc17233334"/>
      <w:bookmarkStart w:id="32" w:name="_Toc24884212"/>
      <w:bookmarkStart w:id="33" w:name="_Toc24884219"/>
      <w:bookmarkStart w:id="34" w:name="_Toc26648466"/>
      <w:r>
        <w:rPr>
          <w:rFonts w:hint="eastAsia"/>
        </w:rPr>
        <w:t>本文件</w:t>
      </w:r>
      <w:r>
        <w:rPr>
          <w:rFonts w:hint="eastAsia"/>
          <w:lang w:eastAsia="zh-CN"/>
        </w:rPr>
        <w:t>确立</w:t>
      </w:r>
      <w:r>
        <w:rPr>
          <w:rFonts w:hint="eastAsia"/>
        </w:rPr>
        <w:t>了节瓜集约化嫁接育苗</w:t>
      </w:r>
      <w:r>
        <w:rPr>
          <w:rFonts w:hint="eastAsia"/>
          <w:lang w:eastAsia="zh-CN"/>
        </w:rPr>
        <w:t>程序，规定了</w:t>
      </w:r>
      <w:r>
        <w:rPr>
          <w:rFonts w:hint="eastAsia"/>
        </w:rPr>
        <w:t>育苗环境、品种选择、育苗、嫁接、出圃、包装、标准、运输</w:t>
      </w:r>
      <w:r>
        <w:rPr>
          <w:rFonts w:hint="eastAsia"/>
          <w:lang w:eastAsia="zh-CN"/>
        </w:rPr>
        <w:t>的操作指示，描述了生产档案的追溯方法</w:t>
      </w:r>
      <w:r>
        <w:rPr>
          <w:rFonts w:hint="eastAsia"/>
        </w:rPr>
        <w:t>。</w:t>
      </w:r>
    </w:p>
    <w:p>
      <w:pPr>
        <w:pStyle w:val="57"/>
        <w:ind w:firstLine="420"/>
      </w:pPr>
      <w:r>
        <w:rPr>
          <w:rFonts w:hint="eastAsia"/>
        </w:rPr>
        <w:t>本文件适用于广西行政区域内节瓜嫁接苗的集约化生产。</w:t>
      </w:r>
    </w:p>
    <w:p>
      <w:pPr>
        <w:pStyle w:val="105"/>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bookmarkStart w:id="41" w:name="_GoBack"/>
      <w:bookmarkEnd w:id="41"/>
    </w:p>
    <w:sdt>
      <w:sdtPr>
        <w:rPr>
          <w:rFonts w:hint="eastAsia"/>
        </w:rPr>
        <w:id w:val="715848253"/>
        <w:placeholder>
          <w:docPart w:val="542669874C4C43238C0F59477C5708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8321（所有部分）  农药合理使用准则</w:t>
      </w:r>
    </w:p>
    <w:p>
      <w:pPr>
        <w:pStyle w:val="57"/>
        <w:ind w:firstLine="420"/>
      </w:pPr>
      <w:r>
        <w:rPr>
          <w:rFonts w:hint="eastAsia"/>
        </w:rPr>
        <w:t>GB/T 16715.1  瓜菜作物种子 瓜类</w:t>
      </w:r>
    </w:p>
    <w:p>
      <w:pPr>
        <w:pStyle w:val="57"/>
        <w:ind w:firstLine="420"/>
      </w:pPr>
      <w:r>
        <w:rPr>
          <w:rFonts w:hint="eastAsia"/>
        </w:rPr>
        <w:t>NY/T 2118  蔬菜育苗基质</w:t>
      </w:r>
    </w:p>
    <w:p>
      <w:pPr>
        <w:pStyle w:val="57"/>
        <w:ind w:firstLine="420"/>
      </w:pPr>
      <w:r>
        <w:rPr>
          <w:rFonts w:hint="eastAsia"/>
        </w:rPr>
        <w:t>NY/T 2119  蔬菜穴盘育苗通则</w:t>
      </w:r>
    </w:p>
    <w:p>
      <w:pPr>
        <w:pStyle w:val="57"/>
        <w:ind w:firstLine="420"/>
      </w:pPr>
      <w:r>
        <w:rPr>
          <w:rFonts w:hint="eastAsia"/>
        </w:rPr>
        <w:t>NY/T 5010  无公害农产品  种植业产地环境条件</w:t>
      </w:r>
    </w:p>
    <w:p>
      <w:pPr>
        <w:pStyle w:val="105"/>
        <w:spacing w:before="240" w:after="240"/>
      </w:pPr>
      <w:r>
        <w:rPr>
          <w:rFonts w:hint="eastAsia"/>
          <w:szCs w:val="21"/>
        </w:rPr>
        <w:t>术语和定义</w:t>
      </w:r>
    </w:p>
    <w:sdt>
      <w:sdtPr>
        <w:id w:val="-1909835108"/>
        <w:placeholder>
          <w:docPart w:val="9925A0CFE7404F0BA590994CDC3F71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8" w:name="_Toc26986532"/>
          <w:bookmarkEnd w:id="38"/>
          <w:r>
            <w:t>本文件没有需要界定的术语和定义。</w:t>
          </w:r>
        </w:p>
      </w:sdtContent>
    </w:sdt>
    <w:p>
      <w:pPr>
        <w:pStyle w:val="105"/>
        <w:spacing w:before="240" w:after="240"/>
      </w:pPr>
      <w:r>
        <w:rPr>
          <w:rFonts w:hint="eastAsia"/>
        </w:rPr>
        <w:t>育苗环境</w:t>
      </w:r>
    </w:p>
    <w:p>
      <w:pPr>
        <w:pStyle w:val="57"/>
        <w:ind w:firstLine="420"/>
      </w:pPr>
      <w:r>
        <w:rPr>
          <w:rFonts w:hint="eastAsia"/>
        </w:rPr>
        <w:t>选择地势高燥、排灌良好、远离污染源的地块。灌溉水和空气质量应符合NY/T 5010的规定。</w:t>
      </w:r>
    </w:p>
    <w:p>
      <w:pPr>
        <w:pStyle w:val="105"/>
        <w:spacing w:before="240" w:after="240"/>
      </w:pPr>
      <w:r>
        <w:rPr>
          <w:rFonts w:hint="eastAsia"/>
        </w:rPr>
        <w:t>品种选择</w:t>
      </w:r>
    </w:p>
    <w:p>
      <w:pPr>
        <w:pStyle w:val="106"/>
        <w:spacing w:before="120" w:after="120"/>
      </w:pPr>
      <w:r>
        <w:rPr>
          <w:rFonts w:hint="eastAsia"/>
        </w:rPr>
        <w:t>砧木选择</w:t>
      </w:r>
    </w:p>
    <w:p>
      <w:pPr>
        <w:pStyle w:val="57"/>
        <w:ind w:firstLine="420"/>
      </w:pPr>
      <w:r>
        <w:rPr>
          <w:rFonts w:hint="eastAsia"/>
        </w:rPr>
        <w:t>选择无检疫性病虫害、抗病性强、与接穗亲和力高，嫁接后对接穗产品商品性无不良影响。种子质量应符合GB/T 16715.1的规定。</w:t>
      </w:r>
    </w:p>
    <w:p>
      <w:pPr>
        <w:pStyle w:val="106"/>
        <w:spacing w:before="120" w:after="120"/>
      </w:pPr>
      <w:r>
        <w:rPr>
          <w:rFonts w:hint="eastAsia"/>
        </w:rPr>
        <w:t>接穗选择</w:t>
      </w:r>
    </w:p>
    <w:p>
      <w:pPr>
        <w:pStyle w:val="57"/>
        <w:ind w:firstLine="420"/>
      </w:pPr>
      <w:r>
        <w:rPr>
          <w:rFonts w:hint="eastAsia"/>
        </w:rPr>
        <w:t>选择抗病性强、亲和力强的品种。冬春、春提早育苗选耐低温弱光品种；春夏茬、秋延后育苗选耐高温、抗病毒品种。种子质量应符合GB/T 16715.1的规定。</w:t>
      </w:r>
    </w:p>
    <w:p>
      <w:pPr>
        <w:pStyle w:val="105"/>
        <w:spacing w:before="240" w:after="240"/>
      </w:pPr>
      <w:r>
        <w:rPr>
          <w:rFonts w:hint="eastAsia"/>
        </w:rPr>
        <w:t>育苗</w:t>
      </w:r>
    </w:p>
    <w:p>
      <w:pPr>
        <w:pStyle w:val="106"/>
        <w:spacing w:before="120" w:after="120"/>
      </w:pPr>
      <w:r>
        <w:rPr>
          <w:rFonts w:hint="eastAsia"/>
        </w:rPr>
        <w:t>设施设备</w:t>
      </w:r>
    </w:p>
    <w:p>
      <w:pPr>
        <w:pStyle w:val="57"/>
        <w:ind w:firstLine="420"/>
        <w:rPr>
          <w:rFonts w:hint="eastAsia"/>
        </w:rPr>
      </w:pPr>
      <w:r>
        <w:rPr>
          <w:rFonts w:hint="eastAsia"/>
        </w:rPr>
        <w:t>选用温室或塑料大棚，并配备防虫网、遮光率为40</w:t>
      </w:r>
      <w:r>
        <w:rPr>
          <w:rFonts w:hint="eastAsia" w:hAnsi="宋体"/>
        </w:rPr>
        <w:t>％～</w:t>
      </w:r>
      <w:r>
        <w:rPr>
          <w:rFonts w:hint="eastAsia"/>
        </w:rPr>
        <w:t>70</w:t>
      </w:r>
      <w:r>
        <w:rPr>
          <w:rFonts w:hint="eastAsia" w:hAnsi="宋体"/>
        </w:rPr>
        <w:t>％</w:t>
      </w:r>
      <w:r>
        <w:rPr>
          <w:rFonts w:hint="eastAsia"/>
        </w:rPr>
        <w:t>遮阳网、苗床、催芽箱、操作台等；配套加温、补光、通风、灌溉等系统。</w:t>
      </w:r>
    </w:p>
    <w:p>
      <w:pPr>
        <w:pStyle w:val="57"/>
        <w:ind w:firstLine="420"/>
        <w:rPr>
          <w:rFonts w:hint="eastAsia"/>
        </w:rPr>
      </w:pPr>
    </w:p>
    <w:p>
      <w:pPr>
        <w:pStyle w:val="57"/>
        <w:ind w:firstLine="420"/>
        <w:rPr>
          <w:rFonts w:hint="eastAsia"/>
        </w:rPr>
      </w:pPr>
    </w:p>
    <w:p>
      <w:pPr>
        <w:pStyle w:val="57"/>
        <w:ind w:firstLine="420"/>
        <w:rPr>
          <w:rFonts w:hint="eastAsia"/>
        </w:rPr>
      </w:pPr>
    </w:p>
    <w:p>
      <w:pPr>
        <w:pStyle w:val="57"/>
        <w:ind w:firstLine="420"/>
        <w:rPr>
          <w:rFonts w:hint="eastAsia"/>
        </w:rPr>
      </w:pPr>
    </w:p>
    <w:p>
      <w:pPr>
        <w:pStyle w:val="57"/>
        <w:ind w:firstLine="420"/>
      </w:pPr>
    </w:p>
    <w:p>
      <w:pPr>
        <w:pStyle w:val="106"/>
        <w:spacing w:before="120" w:after="120"/>
      </w:pPr>
      <w:r>
        <w:rPr>
          <w:rFonts w:hint="eastAsia"/>
        </w:rPr>
        <w:t>育苗前准备</w:t>
      </w:r>
    </w:p>
    <w:p>
      <w:pPr>
        <w:pStyle w:val="66"/>
        <w:spacing w:before="120" w:after="120"/>
      </w:pPr>
      <w:r>
        <w:rPr>
          <w:rFonts w:hint="eastAsia"/>
        </w:rPr>
        <w:t>设施消毒</w:t>
      </w:r>
    </w:p>
    <w:p>
      <w:pPr>
        <w:pStyle w:val="57"/>
        <w:ind w:firstLine="420"/>
      </w:pPr>
      <w:r>
        <w:rPr>
          <w:rFonts w:hint="eastAsia"/>
        </w:rPr>
        <w:t>将福尔马林溶液加入沸水中，再加入高锰酸钾混匀，在育苗棚内分3</w:t>
      </w:r>
      <w:r>
        <w:rPr>
          <w:rFonts w:hint="eastAsia" w:hAnsi="宋体"/>
        </w:rPr>
        <w:t>～</w:t>
      </w:r>
      <w:r>
        <w:rPr>
          <w:rFonts w:hint="eastAsia"/>
        </w:rPr>
        <w:t>4个点进行烟熏。使用量为高锰酸钾1.65</w:t>
      </w:r>
      <w:r>
        <w:rPr>
          <w:rFonts w:hint="eastAsia"/>
          <w:vertAlign w:val="superscript"/>
        </w:rPr>
        <w:t xml:space="preserve"> </w:t>
      </w:r>
      <w:r>
        <w:rPr>
          <w:rFonts w:hint="eastAsia"/>
        </w:rPr>
        <w:t>kg/667</w:t>
      </w:r>
      <w:r>
        <w:rPr>
          <w:rFonts w:hint="eastAsia"/>
          <w:vertAlign w:val="superscript"/>
        </w:rPr>
        <w:t xml:space="preserve"> </w:t>
      </w:r>
      <w:r>
        <w:rPr>
          <w:rFonts w:hint="eastAsia"/>
        </w:rPr>
        <w:t>m</w:t>
      </w:r>
      <w:r>
        <w:rPr>
          <w:rFonts w:hint="eastAsia"/>
          <w:vertAlign w:val="superscript"/>
        </w:rPr>
        <w:t>2</w:t>
      </w:r>
      <w:r>
        <w:rPr>
          <w:rFonts w:hint="eastAsia"/>
        </w:rPr>
        <w:t>、37</w:t>
      </w:r>
      <w:r>
        <w:rPr>
          <w:rFonts w:hint="eastAsia" w:hAnsi="宋体"/>
        </w:rPr>
        <w:t>％</w:t>
      </w:r>
      <w:r>
        <w:rPr>
          <w:rFonts w:hint="eastAsia"/>
        </w:rPr>
        <w:t>福尔马林溶液1.65</w:t>
      </w:r>
      <w:r>
        <w:rPr>
          <w:rFonts w:hint="eastAsia"/>
          <w:vertAlign w:val="superscript"/>
        </w:rPr>
        <w:t xml:space="preserve"> </w:t>
      </w:r>
      <w:r>
        <w:rPr>
          <w:rFonts w:hint="eastAsia"/>
        </w:rPr>
        <w:t>L/667</w:t>
      </w:r>
      <w:r>
        <w:rPr>
          <w:rFonts w:hint="eastAsia"/>
          <w:vertAlign w:val="superscript"/>
        </w:rPr>
        <w:t xml:space="preserve"> </w:t>
      </w:r>
      <w:r>
        <w:rPr>
          <w:rFonts w:hint="eastAsia"/>
        </w:rPr>
        <w:t>m</w:t>
      </w:r>
      <w:r>
        <w:rPr>
          <w:rFonts w:hint="eastAsia"/>
          <w:vertAlign w:val="superscript"/>
        </w:rPr>
        <w:t>2</w:t>
      </w:r>
      <w:r>
        <w:rPr>
          <w:rFonts w:hint="eastAsia"/>
        </w:rPr>
        <w:t>、沸水8.4</w:t>
      </w:r>
      <w:r>
        <w:rPr>
          <w:rFonts w:hint="eastAsia"/>
          <w:vertAlign w:val="superscript"/>
        </w:rPr>
        <w:t xml:space="preserve"> </w:t>
      </w:r>
      <w:r>
        <w:rPr>
          <w:rFonts w:hint="eastAsia"/>
        </w:rPr>
        <w:t>kg/667</w:t>
      </w:r>
      <w:r>
        <w:rPr>
          <w:rFonts w:hint="eastAsia"/>
          <w:vertAlign w:val="superscript"/>
        </w:rPr>
        <w:t xml:space="preserve"> </w:t>
      </w:r>
      <w:r>
        <w:rPr>
          <w:rFonts w:hint="eastAsia"/>
        </w:rPr>
        <w:t>m</w:t>
      </w:r>
      <w:r>
        <w:rPr>
          <w:rFonts w:hint="eastAsia"/>
          <w:vertAlign w:val="superscript"/>
        </w:rPr>
        <w:t>2</w:t>
      </w:r>
      <w:r>
        <w:rPr>
          <w:rFonts w:hint="eastAsia"/>
        </w:rPr>
        <w:t>。封闭48</w:t>
      </w:r>
      <w:r>
        <w:rPr>
          <w:rFonts w:hint="eastAsia"/>
          <w:vertAlign w:val="superscript"/>
        </w:rPr>
        <w:t xml:space="preserve"> </w:t>
      </w:r>
      <w:r>
        <w:rPr>
          <w:rFonts w:hint="eastAsia"/>
        </w:rPr>
        <w:t>h，待气味散即尽后可使用。</w:t>
      </w:r>
    </w:p>
    <w:p>
      <w:pPr>
        <w:pStyle w:val="66"/>
        <w:spacing w:before="120" w:after="120"/>
      </w:pPr>
      <w:r>
        <w:rPr>
          <w:rFonts w:hint="eastAsia"/>
        </w:rPr>
        <w:t>穴盘选择与消毒</w:t>
      </w:r>
    </w:p>
    <w:p>
      <w:pPr>
        <w:pStyle w:val="57"/>
        <w:ind w:firstLine="420"/>
      </w:pPr>
      <w:r>
        <w:rPr>
          <w:rFonts w:hint="eastAsia"/>
        </w:rPr>
        <w:t>砧木育苗宜用72孔穴盘，接穗育苗宜用128孔穴盘或塑料育苗平盘，嫁接苗移栽宜用50孔穴盘，穴盘的使用应符合NY/T 2119的要求。新购的穴盘可直接使用，使用过的穴盘应用高锰酸钾1</w:t>
      </w:r>
      <w:r>
        <w:rPr>
          <w:rFonts w:hint="eastAsia"/>
          <w:vertAlign w:val="superscript"/>
        </w:rPr>
        <w:t xml:space="preserve"> </w:t>
      </w:r>
      <w:r>
        <w:rPr>
          <w:rFonts w:hint="eastAsia"/>
        </w:rPr>
        <w:t>000倍液浸泡10</w:t>
      </w:r>
      <w:r>
        <w:rPr>
          <w:rFonts w:hint="eastAsia"/>
          <w:vertAlign w:val="superscript"/>
        </w:rPr>
        <w:t xml:space="preserve"> </w:t>
      </w:r>
      <w:r>
        <w:rPr>
          <w:rFonts w:hint="eastAsia"/>
        </w:rPr>
        <w:t>min后，清水洗净备用。</w:t>
      </w:r>
    </w:p>
    <w:p>
      <w:pPr>
        <w:pStyle w:val="66"/>
        <w:spacing w:before="120" w:after="120"/>
      </w:pPr>
      <w:r>
        <w:rPr>
          <w:rFonts w:hint="eastAsia"/>
        </w:rPr>
        <w:t>基质选择与消毒</w:t>
      </w:r>
    </w:p>
    <w:p>
      <w:pPr>
        <w:pStyle w:val="57"/>
        <w:ind w:firstLine="420"/>
        <w:rPr>
          <w:b/>
        </w:rPr>
      </w:pPr>
      <w:r>
        <w:rPr>
          <w:rFonts w:hint="eastAsia"/>
        </w:rPr>
        <w:t>选用瓜类专用育苗基质或优质草炭、蛭石、珍珠岩为基质材料，草炭使用拆包机和拌料机破碎，按体积比3</w:t>
      </w:r>
      <w:r>
        <w:rPr>
          <w:rFonts w:hint="eastAsia" w:hAnsi="宋体"/>
        </w:rPr>
        <w:t>:</w:t>
      </w:r>
      <w:r>
        <w:rPr>
          <w:rFonts w:hint="eastAsia"/>
        </w:rPr>
        <w:t>1</w:t>
      </w:r>
      <w:r>
        <w:rPr>
          <w:rFonts w:hint="eastAsia" w:hAnsi="宋体"/>
        </w:rPr>
        <w:t>:</w:t>
      </w:r>
      <w:r>
        <w:rPr>
          <w:rFonts w:hint="eastAsia"/>
        </w:rPr>
        <w:t>1或 7</w:t>
      </w:r>
      <w:r>
        <w:rPr>
          <w:rFonts w:hint="eastAsia" w:hAnsi="宋体"/>
        </w:rPr>
        <w:t>:</w:t>
      </w:r>
      <w:r>
        <w:rPr>
          <w:rFonts w:hint="eastAsia"/>
        </w:rPr>
        <w:t>2</w:t>
      </w:r>
      <w:r>
        <w:rPr>
          <w:rFonts w:hint="eastAsia" w:hAnsi="宋体"/>
        </w:rPr>
        <w:t>:</w:t>
      </w:r>
      <w:r>
        <w:rPr>
          <w:rFonts w:hint="eastAsia"/>
        </w:rPr>
        <w:t>1配制，每m</w:t>
      </w:r>
      <w:r>
        <w:rPr>
          <w:rFonts w:hint="eastAsia"/>
          <w:vertAlign w:val="superscript"/>
        </w:rPr>
        <w:t>3</w:t>
      </w:r>
      <w:r>
        <w:rPr>
          <w:rFonts w:hint="eastAsia"/>
        </w:rPr>
        <w:t>加入1</w:t>
      </w:r>
      <w:r>
        <w:rPr>
          <w:rFonts w:hint="eastAsia"/>
          <w:vertAlign w:val="superscript"/>
        </w:rPr>
        <w:t xml:space="preserve"> </w:t>
      </w:r>
      <w:r>
        <w:rPr>
          <w:rFonts w:hint="eastAsia"/>
        </w:rPr>
        <w:t>kg～2</w:t>
      </w:r>
      <w:r>
        <w:rPr>
          <w:rFonts w:hint="eastAsia"/>
          <w:vertAlign w:val="superscript"/>
        </w:rPr>
        <w:t xml:space="preserve"> </w:t>
      </w:r>
      <w:r>
        <w:rPr>
          <w:rFonts w:hint="eastAsia"/>
        </w:rPr>
        <w:t>kg复合肥(15-15-15)和50</w:t>
      </w:r>
      <w:r>
        <w:rPr>
          <w:rFonts w:hint="eastAsia" w:hAnsi="宋体"/>
        </w:rPr>
        <w:t>％</w:t>
      </w:r>
      <w:r>
        <w:rPr>
          <w:rFonts w:hint="eastAsia"/>
        </w:rPr>
        <w:t>多菌灵可湿性粉剂0.2</w:t>
      </w:r>
      <w:r>
        <w:rPr>
          <w:rFonts w:hint="eastAsia"/>
          <w:vertAlign w:val="superscript"/>
        </w:rPr>
        <w:t xml:space="preserve"> </w:t>
      </w:r>
      <w:r>
        <w:rPr>
          <w:rFonts w:hint="eastAsia"/>
        </w:rPr>
        <w:t>kg，充分搅拌均匀。将拌好的基质加水，使其湿度达到30</w:t>
      </w:r>
      <w:r>
        <w:rPr>
          <w:rFonts w:hint="eastAsia" w:hAnsi="宋体"/>
        </w:rPr>
        <w:t>％</w:t>
      </w:r>
      <w:r>
        <w:rPr>
          <w:rFonts w:hint="eastAsia"/>
        </w:rPr>
        <w:t>～40</w:t>
      </w:r>
      <w:r>
        <w:rPr>
          <w:rFonts w:hint="eastAsia" w:hAnsi="宋体"/>
        </w:rPr>
        <w:t>％</w:t>
      </w:r>
      <w:r>
        <w:rPr>
          <w:rFonts w:hint="eastAsia"/>
        </w:rPr>
        <w:t>待用，即达到手握成团、落地即散为宜。理化性质应符合NY/T 2118的要求。</w:t>
      </w:r>
    </w:p>
    <w:p>
      <w:pPr>
        <w:pStyle w:val="106"/>
        <w:spacing w:before="120" w:after="120"/>
      </w:pPr>
      <w:r>
        <w:rPr>
          <w:rFonts w:hint="eastAsia"/>
        </w:rPr>
        <w:t>播种</w:t>
      </w:r>
    </w:p>
    <w:p>
      <w:pPr>
        <w:pStyle w:val="66"/>
        <w:spacing w:before="120" w:after="120"/>
      </w:pPr>
      <w:r>
        <w:rPr>
          <w:rFonts w:hint="eastAsia"/>
        </w:rPr>
        <w:t>播种时间</w:t>
      </w:r>
    </w:p>
    <w:p>
      <w:pPr>
        <w:pStyle w:val="165"/>
      </w:pPr>
      <w:r>
        <w:rPr>
          <w:rFonts w:hint="eastAsia"/>
        </w:rPr>
        <w:t>砧木播种时间桂南地区6月</w:t>
      </w:r>
      <w:r>
        <w:rPr>
          <w:rFonts w:hint="eastAsia" w:hAnsi="宋体"/>
        </w:rPr>
        <w:t>～</w:t>
      </w:r>
      <w:r>
        <w:rPr>
          <w:rFonts w:hint="eastAsia"/>
        </w:rPr>
        <w:t>8月和11月</w:t>
      </w:r>
      <w:r>
        <w:rPr>
          <w:rFonts w:hint="eastAsia" w:hAnsi="宋体"/>
        </w:rPr>
        <w:t>至</w:t>
      </w:r>
      <w:r>
        <w:rPr>
          <w:rFonts w:hint="eastAsia"/>
        </w:rPr>
        <w:t>翌年2月；桂中地区2月</w:t>
      </w:r>
      <w:r>
        <w:rPr>
          <w:rFonts w:hint="eastAsia" w:hAnsi="宋体"/>
        </w:rPr>
        <w:t>～</w:t>
      </w:r>
      <w:r>
        <w:rPr>
          <w:rFonts w:hint="eastAsia"/>
        </w:rPr>
        <w:t>7月；桂北及桂西北地区2月</w:t>
      </w:r>
      <w:r>
        <w:rPr>
          <w:rFonts w:hint="eastAsia" w:hAnsi="宋体"/>
        </w:rPr>
        <w:t>～</w:t>
      </w:r>
      <w:r>
        <w:rPr>
          <w:rFonts w:hint="eastAsia"/>
        </w:rPr>
        <w:t>6月。</w:t>
      </w:r>
    </w:p>
    <w:p>
      <w:pPr>
        <w:pStyle w:val="165"/>
      </w:pPr>
      <w:r>
        <w:rPr>
          <w:rFonts w:hint="eastAsia"/>
        </w:rPr>
        <w:t>接穗播种时间比砧木晚播4</w:t>
      </w:r>
      <w:r>
        <w:rPr>
          <w:rFonts w:hint="eastAsia"/>
          <w:vertAlign w:val="superscript"/>
        </w:rPr>
        <w:t xml:space="preserve"> </w:t>
      </w:r>
      <w:r>
        <w:rPr>
          <w:rFonts w:hint="eastAsia"/>
        </w:rPr>
        <w:t>d</w:t>
      </w:r>
      <w:r>
        <w:rPr>
          <w:rFonts w:hint="eastAsia" w:hAnsi="宋体"/>
        </w:rPr>
        <w:t>～</w:t>
      </w:r>
      <w:r>
        <w:rPr>
          <w:rFonts w:hint="eastAsia"/>
        </w:rPr>
        <w:t>6</w:t>
      </w:r>
      <w:r>
        <w:rPr>
          <w:rFonts w:hint="eastAsia"/>
          <w:vertAlign w:val="superscript"/>
        </w:rPr>
        <w:t xml:space="preserve"> </w:t>
      </w:r>
      <w:r>
        <w:rPr>
          <w:rFonts w:hint="eastAsia"/>
        </w:rPr>
        <w:t>d。</w:t>
      </w:r>
    </w:p>
    <w:p>
      <w:pPr>
        <w:pStyle w:val="66"/>
        <w:spacing w:before="120" w:after="120"/>
      </w:pPr>
      <w:r>
        <w:rPr>
          <w:rFonts w:hint="eastAsia"/>
        </w:rPr>
        <w:t>种子处理</w:t>
      </w:r>
    </w:p>
    <w:p>
      <w:pPr>
        <w:pStyle w:val="95"/>
        <w:spacing w:before="120" w:after="120"/>
      </w:pPr>
      <w:r>
        <w:rPr>
          <w:rFonts w:hint="eastAsia"/>
        </w:rPr>
        <w:t>浸种</w:t>
      </w:r>
    </w:p>
    <w:p>
      <w:pPr>
        <w:pStyle w:val="57"/>
        <w:ind w:firstLine="420"/>
        <w:rPr>
          <w:rFonts w:hAnsi="宋体"/>
        </w:rPr>
      </w:pPr>
      <w:r>
        <w:rPr>
          <w:rFonts w:hint="eastAsia"/>
        </w:rPr>
        <w:t>将种子放入50</w:t>
      </w:r>
      <w:r>
        <w:rPr>
          <w:rFonts w:hint="eastAsia"/>
          <w:vertAlign w:val="subscript"/>
        </w:rPr>
        <w:t xml:space="preserve"> </w:t>
      </w:r>
      <w:r>
        <w:rPr>
          <w:rFonts w:hint="eastAsia"/>
        </w:rPr>
        <w:t>℃～55</w:t>
      </w:r>
      <w:r>
        <w:rPr>
          <w:rFonts w:hint="eastAsia"/>
          <w:vertAlign w:val="subscript"/>
        </w:rPr>
        <w:t xml:space="preserve"> </w:t>
      </w:r>
      <w:r>
        <w:rPr>
          <w:rFonts w:hint="eastAsia"/>
        </w:rPr>
        <w:t>℃温水中浸泡15</w:t>
      </w:r>
      <w:r>
        <w:rPr>
          <w:rFonts w:hint="eastAsia"/>
          <w:vertAlign w:val="superscript"/>
        </w:rPr>
        <w:t xml:space="preserve"> </w:t>
      </w:r>
      <w:r>
        <w:rPr>
          <w:rFonts w:hint="eastAsia"/>
        </w:rPr>
        <w:t>min</w:t>
      </w:r>
      <w:r>
        <w:rPr>
          <w:rFonts w:hint="eastAsia" w:hAnsi="宋体"/>
        </w:rPr>
        <w:t>～20</w:t>
      </w:r>
      <w:r>
        <w:rPr>
          <w:rFonts w:hint="eastAsia"/>
          <w:vertAlign w:val="superscript"/>
        </w:rPr>
        <w:t xml:space="preserve"> </w:t>
      </w:r>
      <w:r>
        <w:rPr>
          <w:rFonts w:hint="eastAsia" w:hAnsi="宋体"/>
        </w:rPr>
        <w:t>min，并不断搅拌，待水温降至室温后继续浸种，砧木浸泡6</w:t>
      </w:r>
      <w:r>
        <w:rPr>
          <w:rFonts w:hint="eastAsia"/>
          <w:vertAlign w:val="superscript"/>
        </w:rPr>
        <w:t xml:space="preserve"> </w:t>
      </w:r>
      <w:r>
        <w:rPr>
          <w:rFonts w:hint="eastAsia" w:hAnsi="宋体"/>
        </w:rPr>
        <w:t>h～8</w:t>
      </w:r>
      <w:r>
        <w:rPr>
          <w:rFonts w:hint="eastAsia"/>
          <w:vertAlign w:val="superscript"/>
        </w:rPr>
        <w:t xml:space="preserve"> </w:t>
      </w:r>
      <w:r>
        <w:rPr>
          <w:rFonts w:hint="eastAsia" w:hAnsi="宋体"/>
        </w:rPr>
        <w:t>h，接穗浸泡8</w:t>
      </w:r>
      <w:r>
        <w:rPr>
          <w:rFonts w:hint="eastAsia"/>
          <w:vertAlign w:val="superscript"/>
        </w:rPr>
        <w:t xml:space="preserve"> </w:t>
      </w:r>
      <w:r>
        <w:rPr>
          <w:rFonts w:hint="eastAsia" w:hAnsi="宋体"/>
        </w:rPr>
        <w:t>h～12</w:t>
      </w:r>
      <w:r>
        <w:rPr>
          <w:rFonts w:hint="eastAsia"/>
          <w:vertAlign w:val="superscript"/>
        </w:rPr>
        <w:t xml:space="preserve"> </w:t>
      </w:r>
      <w:r>
        <w:rPr>
          <w:rFonts w:hint="eastAsia" w:hAnsi="宋体"/>
        </w:rPr>
        <w:t>h，捞出种子，洗净。</w:t>
      </w:r>
    </w:p>
    <w:p>
      <w:pPr>
        <w:pStyle w:val="95"/>
        <w:spacing w:before="120" w:after="120"/>
        <w:rPr>
          <w:rFonts w:ascii="宋体"/>
        </w:rPr>
      </w:pPr>
      <w:r>
        <w:rPr>
          <w:rFonts w:hint="eastAsia"/>
        </w:rPr>
        <w:t>催芽</w:t>
      </w:r>
    </w:p>
    <w:p>
      <w:pPr>
        <w:pStyle w:val="57"/>
        <w:ind w:firstLine="420"/>
        <w:rPr>
          <w:rFonts w:hAnsi="宋体"/>
        </w:rPr>
      </w:pPr>
      <w:r>
        <w:rPr>
          <w:rFonts w:hint="eastAsia" w:hAnsi="宋体"/>
        </w:rPr>
        <w:t>将种子沥干水分，用纱布或干净的湿毛巾包好，放置在25</w:t>
      </w:r>
      <w:r>
        <w:rPr>
          <w:rFonts w:hint="eastAsia" w:hAnsi="宋体"/>
          <w:vertAlign w:val="superscript"/>
        </w:rPr>
        <w:t xml:space="preserve"> </w:t>
      </w:r>
      <w:r>
        <w:rPr>
          <w:rFonts w:hint="eastAsia" w:hAnsi="宋体"/>
        </w:rPr>
        <w:t>℃～30</w:t>
      </w:r>
      <w:r>
        <w:rPr>
          <w:rFonts w:hint="eastAsia" w:hAnsi="宋体"/>
          <w:vertAlign w:val="superscript"/>
        </w:rPr>
        <w:t xml:space="preserve"> </w:t>
      </w:r>
      <w:r>
        <w:rPr>
          <w:rFonts w:hint="eastAsia" w:hAnsi="宋体"/>
        </w:rPr>
        <w:t>℃条件下催芽，待种子50％～70％露白即可播种。</w:t>
      </w:r>
    </w:p>
    <w:p>
      <w:pPr>
        <w:pStyle w:val="66"/>
        <w:spacing w:before="120" w:after="120"/>
      </w:pPr>
      <w:r>
        <w:rPr>
          <w:rFonts w:hint="eastAsia"/>
        </w:rPr>
        <w:t>播种方法</w:t>
      </w:r>
    </w:p>
    <w:p>
      <w:pPr>
        <w:pStyle w:val="95"/>
        <w:spacing w:before="120" w:after="120"/>
      </w:pPr>
      <w:r>
        <w:rPr>
          <w:rFonts w:hint="eastAsia"/>
        </w:rPr>
        <w:t>砧木播种</w:t>
      </w:r>
    </w:p>
    <w:p>
      <w:pPr>
        <w:pStyle w:val="57"/>
        <w:ind w:firstLine="420"/>
      </w:pPr>
      <w:r>
        <w:rPr>
          <w:rFonts w:hint="eastAsia"/>
        </w:rPr>
        <w:t>将育苗穴盘装入育苗基质八成满后放在苗床上，每穴播1粒种子，胚根向下，播后覆盖1.0</w:t>
      </w:r>
      <w:r>
        <w:rPr>
          <w:rFonts w:hint="eastAsia"/>
          <w:vertAlign w:val="superscript"/>
        </w:rPr>
        <w:t xml:space="preserve"> </w:t>
      </w:r>
      <w:r>
        <w:rPr>
          <w:rFonts w:hint="eastAsia"/>
        </w:rPr>
        <w:t>cm～1.5</w:t>
      </w:r>
      <w:r>
        <w:rPr>
          <w:rFonts w:hint="eastAsia"/>
          <w:vertAlign w:val="superscript"/>
        </w:rPr>
        <w:t xml:space="preserve"> </w:t>
      </w:r>
      <w:r>
        <w:rPr>
          <w:rFonts w:hint="eastAsia"/>
        </w:rPr>
        <w:t>cm厚的蛭石，淋透水后覆盖透明薄膜。待50</w:t>
      </w:r>
      <w:r>
        <w:rPr>
          <w:rFonts w:hint="eastAsia" w:hAnsi="宋体"/>
        </w:rPr>
        <w:t>％</w:t>
      </w:r>
      <w:r>
        <w:rPr>
          <w:rFonts w:hint="eastAsia"/>
        </w:rPr>
        <w:t>～70</w:t>
      </w:r>
      <w:r>
        <w:rPr>
          <w:rFonts w:hint="eastAsia" w:hAnsi="宋体"/>
        </w:rPr>
        <w:t>％</w:t>
      </w:r>
      <w:r>
        <w:rPr>
          <w:rFonts w:hint="eastAsia"/>
        </w:rPr>
        <w:t>幼苗出土时揭去薄膜。</w:t>
      </w:r>
    </w:p>
    <w:p>
      <w:pPr>
        <w:pStyle w:val="95"/>
        <w:spacing w:before="120" w:after="120"/>
      </w:pPr>
      <w:r>
        <w:rPr>
          <w:rFonts w:hint="eastAsia"/>
        </w:rPr>
        <w:t>接穗播种</w:t>
      </w:r>
    </w:p>
    <w:p>
      <w:pPr>
        <w:pStyle w:val="57"/>
        <w:ind w:firstLine="420"/>
      </w:pPr>
      <w:r>
        <w:rPr>
          <w:rFonts w:hint="eastAsia"/>
        </w:rPr>
        <w:t>露白的接穗种子点播于128孔穴盘或撒播于平盘内。播后覆盖已消毒的珍珠岩，淋透水后覆盖透明薄膜。待70</w:t>
      </w:r>
      <w:r>
        <w:rPr>
          <w:rFonts w:hint="eastAsia" w:hAnsi="宋体"/>
        </w:rPr>
        <w:t>％</w:t>
      </w:r>
      <w:r>
        <w:rPr>
          <w:rFonts w:hint="eastAsia"/>
        </w:rPr>
        <w:t>幼苗出土时揭去薄膜。</w:t>
      </w:r>
    </w:p>
    <w:p>
      <w:pPr>
        <w:pStyle w:val="106"/>
        <w:spacing w:before="120" w:after="120"/>
      </w:pPr>
      <w:r>
        <w:rPr>
          <w:rFonts w:hint="eastAsia"/>
        </w:rPr>
        <w:t>嫁接前管理</w:t>
      </w:r>
    </w:p>
    <w:p>
      <w:pPr>
        <w:pStyle w:val="66"/>
        <w:spacing w:before="120" w:after="120"/>
      </w:pPr>
      <w:r>
        <w:rPr>
          <w:rFonts w:hint="eastAsia"/>
        </w:rPr>
        <w:t>温度</w:t>
      </w:r>
    </w:p>
    <w:p>
      <w:pPr>
        <w:pStyle w:val="57"/>
        <w:ind w:firstLine="420"/>
        <w:rPr>
          <w:rFonts w:hint="eastAsia"/>
        </w:rPr>
      </w:pPr>
      <w:r>
        <w:rPr>
          <w:rFonts w:hint="eastAsia"/>
        </w:rPr>
        <w:t>出苗前，白天温度25</w:t>
      </w:r>
      <w:r>
        <w:rPr>
          <w:rFonts w:hint="eastAsia"/>
          <w:vertAlign w:val="subscript"/>
        </w:rPr>
        <w:t xml:space="preserve"> </w:t>
      </w:r>
      <w:r>
        <w:rPr>
          <w:rFonts w:hint="eastAsia"/>
        </w:rPr>
        <w:t>℃～30</w:t>
      </w:r>
      <w:r>
        <w:rPr>
          <w:rFonts w:hint="eastAsia"/>
          <w:vertAlign w:val="superscript"/>
        </w:rPr>
        <w:t xml:space="preserve"> </w:t>
      </w:r>
      <w:r>
        <w:rPr>
          <w:rFonts w:hint="eastAsia"/>
        </w:rPr>
        <w:t>℃，最高温度不超过33</w:t>
      </w:r>
      <w:r>
        <w:rPr>
          <w:rFonts w:hint="eastAsia"/>
          <w:vertAlign w:val="superscript"/>
        </w:rPr>
        <w:t xml:space="preserve"> </w:t>
      </w:r>
      <w:r>
        <w:rPr>
          <w:rFonts w:hint="eastAsia"/>
        </w:rPr>
        <w:t>℃，夜间18</w:t>
      </w:r>
      <w:r>
        <w:rPr>
          <w:rFonts w:hint="eastAsia"/>
          <w:vertAlign w:val="superscript"/>
        </w:rPr>
        <w:t xml:space="preserve"> </w:t>
      </w:r>
      <w:r>
        <w:rPr>
          <w:rFonts w:hint="eastAsia"/>
        </w:rPr>
        <w:t>℃～20</w:t>
      </w:r>
      <w:r>
        <w:rPr>
          <w:rFonts w:hint="eastAsia"/>
          <w:vertAlign w:val="subscript"/>
        </w:rPr>
        <w:t xml:space="preserve"> </w:t>
      </w:r>
      <w:r>
        <w:rPr>
          <w:rFonts w:hint="eastAsia"/>
        </w:rPr>
        <w:t>℃。出苗后白天温度20</w:t>
      </w:r>
      <w:r>
        <w:rPr>
          <w:rFonts w:hint="eastAsia"/>
          <w:vertAlign w:val="superscript"/>
        </w:rPr>
        <w:t xml:space="preserve"> </w:t>
      </w:r>
      <w:r>
        <w:rPr>
          <w:rFonts w:hint="eastAsia"/>
        </w:rPr>
        <w:t>℃～25</w:t>
      </w:r>
      <w:r>
        <w:rPr>
          <w:rFonts w:hint="eastAsia"/>
          <w:vertAlign w:val="subscript"/>
        </w:rPr>
        <w:t xml:space="preserve"> </w:t>
      </w:r>
      <w:r>
        <w:rPr>
          <w:rFonts w:hint="eastAsia"/>
        </w:rPr>
        <w:t>℃，夜间温度15</w:t>
      </w:r>
      <w:r>
        <w:rPr>
          <w:rFonts w:hint="eastAsia"/>
          <w:vertAlign w:val="subscript"/>
        </w:rPr>
        <w:t xml:space="preserve"> </w:t>
      </w:r>
      <w:r>
        <w:rPr>
          <w:rFonts w:hint="eastAsia"/>
        </w:rPr>
        <w:t>℃～18</w:t>
      </w:r>
      <w:r>
        <w:rPr>
          <w:rFonts w:hint="eastAsia"/>
          <w:vertAlign w:val="superscript"/>
        </w:rPr>
        <w:t xml:space="preserve"> </w:t>
      </w:r>
      <w:r>
        <w:rPr>
          <w:rFonts w:hint="eastAsia"/>
        </w:rPr>
        <w:t>℃。苗齐后白天温度保持在20</w:t>
      </w:r>
      <w:r>
        <w:rPr>
          <w:rFonts w:hint="eastAsia"/>
          <w:vertAlign w:val="superscript"/>
        </w:rPr>
        <w:t xml:space="preserve"> </w:t>
      </w:r>
      <w:r>
        <w:rPr>
          <w:rFonts w:hint="eastAsia"/>
        </w:rPr>
        <w:t>℃～25</w:t>
      </w:r>
      <w:r>
        <w:rPr>
          <w:rFonts w:hint="eastAsia"/>
          <w:vertAlign w:val="superscript"/>
        </w:rPr>
        <w:t xml:space="preserve"> </w:t>
      </w:r>
      <w:r>
        <w:rPr>
          <w:rFonts w:hint="eastAsia"/>
        </w:rPr>
        <w:t>℃，砧木夜间温度10</w:t>
      </w:r>
      <w:r>
        <w:rPr>
          <w:rFonts w:hint="eastAsia"/>
          <w:vertAlign w:val="subscript"/>
        </w:rPr>
        <w:t xml:space="preserve"> </w:t>
      </w:r>
      <w:r>
        <w:rPr>
          <w:rFonts w:hint="eastAsia"/>
        </w:rPr>
        <w:t>℃～15</w:t>
      </w:r>
      <w:r>
        <w:rPr>
          <w:rFonts w:hint="eastAsia"/>
          <w:vertAlign w:val="superscript"/>
        </w:rPr>
        <w:t xml:space="preserve"> </w:t>
      </w:r>
      <w:r>
        <w:rPr>
          <w:rFonts w:hint="eastAsia"/>
        </w:rPr>
        <w:t>℃，接穗夜间温度15</w:t>
      </w:r>
      <w:r>
        <w:rPr>
          <w:rFonts w:hint="eastAsia"/>
          <w:vertAlign w:val="superscript"/>
        </w:rPr>
        <w:t xml:space="preserve"> </w:t>
      </w:r>
      <w:r>
        <w:rPr>
          <w:rFonts w:hint="eastAsia"/>
        </w:rPr>
        <w:t>℃～18</w:t>
      </w:r>
      <w:r>
        <w:rPr>
          <w:rFonts w:hint="eastAsia"/>
          <w:vertAlign w:val="subscript"/>
        </w:rPr>
        <w:t xml:space="preserve"> </w:t>
      </w:r>
      <w:r>
        <w:rPr>
          <w:rFonts w:hint="eastAsia"/>
        </w:rPr>
        <w:t>℃。</w:t>
      </w:r>
    </w:p>
    <w:p>
      <w:pPr>
        <w:pStyle w:val="57"/>
        <w:ind w:firstLine="420"/>
        <w:rPr>
          <w:rFonts w:hint="eastAsia"/>
        </w:rPr>
      </w:pPr>
    </w:p>
    <w:p>
      <w:pPr>
        <w:pStyle w:val="57"/>
        <w:ind w:firstLine="420"/>
      </w:pPr>
    </w:p>
    <w:p>
      <w:pPr>
        <w:pStyle w:val="66"/>
        <w:spacing w:before="120" w:after="120"/>
      </w:pPr>
      <w:r>
        <w:rPr>
          <w:rFonts w:hint="eastAsia"/>
        </w:rPr>
        <w:t>湿度</w:t>
      </w:r>
    </w:p>
    <w:p>
      <w:pPr>
        <w:pStyle w:val="57"/>
        <w:ind w:firstLine="420"/>
      </w:pPr>
      <w:r>
        <w:rPr>
          <w:rFonts w:hint="eastAsia"/>
        </w:rPr>
        <w:t>穴盘基质保持湿润。</w:t>
      </w:r>
    </w:p>
    <w:p>
      <w:pPr>
        <w:pStyle w:val="105"/>
        <w:spacing w:before="240" w:after="240"/>
      </w:pPr>
      <w:r>
        <w:rPr>
          <w:rFonts w:hint="eastAsia"/>
        </w:rPr>
        <w:t>嫁接</w:t>
      </w:r>
    </w:p>
    <w:p>
      <w:pPr>
        <w:pStyle w:val="106"/>
        <w:spacing w:before="120" w:after="120"/>
      </w:pPr>
      <w:r>
        <w:rPr>
          <w:rFonts w:hint="eastAsia"/>
        </w:rPr>
        <w:t>嫁接适期</w:t>
      </w:r>
    </w:p>
    <w:p>
      <w:pPr>
        <w:pStyle w:val="57"/>
        <w:ind w:firstLine="420"/>
      </w:pPr>
      <w:r>
        <w:rPr>
          <w:rFonts w:hint="eastAsia"/>
        </w:rPr>
        <w:t>砧木1叶1心、第1片真叶展平、茎粗2.5</w:t>
      </w:r>
      <w:r>
        <w:rPr>
          <w:rFonts w:hint="eastAsia"/>
          <w:vertAlign w:val="superscript"/>
        </w:rPr>
        <w:t xml:space="preserve"> </w:t>
      </w:r>
      <w:r>
        <w:rPr>
          <w:rFonts w:hint="eastAsia"/>
        </w:rPr>
        <w:t>mm～3</w:t>
      </w:r>
      <w:r>
        <w:rPr>
          <w:rFonts w:hint="eastAsia"/>
          <w:vertAlign w:val="superscript"/>
        </w:rPr>
        <w:t xml:space="preserve"> </w:t>
      </w:r>
      <w:r>
        <w:rPr>
          <w:rFonts w:hint="eastAsia"/>
        </w:rPr>
        <w:t>mm；接穗子叶展平、茎粗1.5</w:t>
      </w:r>
      <w:r>
        <w:rPr>
          <w:rFonts w:hint="eastAsia"/>
          <w:vertAlign w:val="superscript"/>
        </w:rPr>
        <w:t xml:space="preserve"> </w:t>
      </w:r>
      <w:r>
        <w:rPr>
          <w:rFonts w:hint="eastAsia"/>
        </w:rPr>
        <w:t>mm～2.0</w:t>
      </w:r>
      <w:r>
        <w:rPr>
          <w:rFonts w:hint="eastAsia"/>
          <w:vertAlign w:val="superscript"/>
        </w:rPr>
        <w:t xml:space="preserve"> </w:t>
      </w:r>
      <w:r>
        <w:rPr>
          <w:rFonts w:hint="eastAsia"/>
        </w:rPr>
        <w:t>mm。</w:t>
      </w:r>
    </w:p>
    <w:p>
      <w:pPr>
        <w:pStyle w:val="106"/>
        <w:spacing w:before="120" w:after="120"/>
      </w:pPr>
      <w:r>
        <w:rPr>
          <w:rFonts w:hint="eastAsia"/>
        </w:rPr>
        <w:t>嫁接前处理</w:t>
      </w:r>
    </w:p>
    <w:p>
      <w:pPr>
        <w:pStyle w:val="57"/>
        <w:ind w:firstLine="420"/>
      </w:pPr>
      <w:r>
        <w:rPr>
          <w:rFonts w:hint="eastAsia"/>
        </w:rPr>
        <w:t>嫁接前1</w:t>
      </w:r>
      <w:r>
        <w:rPr>
          <w:rFonts w:hint="eastAsia"/>
          <w:vertAlign w:val="superscript"/>
        </w:rPr>
        <w:t xml:space="preserve"> </w:t>
      </w:r>
      <w:r>
        <w:rPr>
          <w:rFonts w:hint="eastAsia"/>
        </w:rPr>
        <w:t>d，将砧木、接穗浇透水，并用75</w:t>
      </w:r>
      <w:r>
        <w:rPr>
          <w:rFonts w:hint="eastAsia" w:hAnsi="宋体"/>
        </w:rPr>
        <w:t>％</w:t>
      </w:r>
      <w:r>
        <w:rPr>
          <w:rFonts w:hint="eastAsia"/>
        </w:rPr>
        <w:t>百菌清可湿性粉剂600倍液喷雾。</w:t>
      </w:r>
    </w:p>
    <w:p>
      <w:pPr>
        <w:pStyle w:val="106"/>
        <w:spacing w:before="120" w:after="120"/>
      </w:pPr>
      <w:r>
        <w:rPr>
          <w:rFonts w:hint="eastAsia"/>
        </w:rPr>
        <w:t>嫁接场地要求及器具消毒</w:t>
      </w:r>
    </w:p>
    <w:p>
      <w:pPr>
        <w:pStyle w:val="57"/>
        <w:ind w:firstLine="420"/>
        <w:rPr>
          <w:sz w:val="24"/>
          <w:szCs w:val="24"/>
        </w:rPr>
      </w:pPr>
      <w:r>
        <w:rPr>
          <w:rFonts w:hint="eastAsia"/>
        </w:rPr>
        <w:t>嫁接场所适当遮光、避风，温度控制在20</w:t>
      </w:r>
      <w:r>
        <w:rPr>
          <w:rFonts w:hint="eastAsia"/>
          <w:vertAlign w:val="subscript"/>
        </w:rPr>
        <w:t xml:space="preserve"> </w:t>
      </w:r>
      <w:r>
        <w:rPr>
          <w:rFonts w:hint="eastAsia"/>
        </w:rPr>
        <w:t>℃～25</w:t>
      </w:r>
      <w:r>
        <w:rPr>
          <w:rFonts w:hint="eastAsia"/>
          <w:vertAlign w:val="subscript"/>
        </w:rPr>
        <w:t xml:space="preserve"> </w:t>
      </w:r>
      <w:r>
        <w:rPr>
          <w:rFonts w:hint="eastAsia"/>
        </w:rPr>
        <w:t>℃；嫁接工作台、嫁接刀具及工作人员双手用 75％ 乙醇溶液或0.3％高锰酸钾溶液消毒。</w:t>
      </w:r>
    </w:p>
    <w:p>
      <w:pPr>
        <w:pStyle w:val="106"/>
        <w:spacing w:before="120" w:after="120"/>
      </w:pPr>
      <w:r>
        <w:rPr>
          <w:rFonts w:hint="eastAsia"/>
        </w:rPr>
        <w:t>嫁接方法</w:t>
      </w:r>
    </w:p>
    <w:p>
      <w:pPr>
        <w:pStyle w:val="57"/>
        <w:ind w:firstLine="420"/>
      </w:pPr>
      <w:r>
        <w:rPr>
          <w:rFonts w:hint="eastAsia"/>
        </w:rPr>
        <w:t>采用插接法嫁接。将砧木放置在嫁接工作台上，剔除真叶和生长点。用竹签紧贴砧木子叶叶柄中脉基部向另一子叶叶柄基部成45°左右斜插，不宜刺破表皮，深度0.6</w:t>
      </w:r>
      <w:r>
        <w:rPr>
          <w:rFonts w:hint="eastAsia"/>
          <w:vertAlign w:val="superscript"/>
        </w:rPr>
        <w:t xml:space="preserve"> </w:t>
      </w:r>
      <w:r>
        <w:rPr>
          <w:rFonts w:hint="eastAsia"/>
        </w:rPr>
        <w:t>cm～0.8</w:t>
      </w:r>
      <w:r>
        <w:rPr>
          <w:rFonts w:hint="eastAsia"/>
          <w:vertAlign w:val="superscript"/>
        </w:rPr>
        <w:t xml:space="preserve"> </w:t>
      </w:r>
      <w:r>
        <w:rPr>
          <w:rFonts w:hint="eastAsia"/>
        </w:rPr>
        <w:t>cm。从穴盘中取出接穗，在子叶下部0.5</w:t>
      </w:r>
      <w:r>
        <w:rPr>
          <w:rFonts w:hint="eastAsia"/>
          <w:vertAlign w:val="superscript"/>
        </w:rPr>
        <w:t xml:space="preserve"> </w:t>
      </w:r>
      <w:r>
        <w:rPr>
          <w:rFonts w:hint="eastAsia"/>
        </w:rPr>
        <w:t>cm～1.0</w:t>
      </w:r>
      <w:r>
        <w:rPr>
          <w:rFonts w:hint="eastAsia"/>
          <w:vertAlign w:val="superscript"/>
        </w:rPr>
        <w:t xml:space="preserve"> </w:t>
      </w:r>
      <w:r>
        <w:rPr>
          <w:rFonts w:hint="eastAsia"/>
        </w:rPr>
        <w:t>cm处</w:t>
      </w:r>
      <w:r>
        <w:rPr>
          <w:rFonts w:hint="eastAsia"/>
          <w:color w:val="000000"/>
          <w:szCs w:val="21"/>
        </w:rPr>
        <w:t>向下斜切、切除接穗根部</w:t>
      </w:r>
      <w:r>
        <w:rPr>
          <w:rFonts w:hint="eastAsia"/>
        </w:rPr>
        <w:t>，</w:t>
      </w:r>
      <w:r>
        <w:rPr>
          <w:rFonts w:hint="eastAsia"/>
          <w:color w:val="000000"/>
          <w:szCs w:val="21"/>
        </w:rPr>
        <w:t>斜面与胚轴夹角30°～45°，</w:t>
      </w:r>
      <w:r>
        <w:rPr>
          <w:rFonts w:hint="eastAsia"/>
        </w:rPr>
        <w:t>斜切面长0.5</w:t>
      </w:r>
      <w:r>
        <w:rPr>
          <w:rFonts w:hint="eastAsia"/>
          <w:vertAlign w:val="superscript"/>
        </w:rPr>
        <w:t xml:space="preserve"> </w:t>
      </w:r>
      <w:r>
        <w:rPr>
          <w:rFonts w:hint="eastAsia"/>
        </w:rPr>
        <w:t>cm～0.8</w:t>
      </w:r>
      <w:r>
        <w:rPr>
          <w:rFonts w:hint="eastAsia"/>
          <w:vertAlign w:val="superscript"/>
        </w:rPr>
        <w:t xml:space="preserve"> </w:t>
      </w:r>
      <w:r>
        <w:rPr>
          <w:rFonts w:hint="eastAsia"/>
        </w:rPr>
        <w:t>cm。从砧木拔出竹签，将接穗插入砧木的孔中，使砧木与接穗紧密贴合、子叶交叉成“十”字型，嫁接后立即将嫁接苗盘整齐排列在苗床的小拱棚中。</w:t>
      </w:r>
    </w:p>
    <w:p>
      <w:pPr>
        <w:pStyle w:val="106"/>
        <w:spacing w:before="120" w:after="120"/>
      </w:pPr>
      <w:r>
        <w:rPr>
          <w:rFonts w:hint="eastAsia"/>
        </w:rPr>
        <w:t>嫁接后管理</w:t>
      </w:r>
    </w:p>
    <w:p>
      <w:pPr>
        <w:pStyle w:val="66"/>
        <w:spacing w:before="120" w:after="120"/>
      </w:pPr>
      <w:r>
        <w:rPr>
          <w:rFonts w:hint="eastAsia"/>
        </w:rPr>
        <w:t>温度</w:t>
      </w:r>
    </w:p>
    <w:p>
      <w:pPr>
        <w:pStyle w:val="57"/>
        <w:ind w:firstLine="420"/>
      </w:pPr>
      <w:r>
        <w:rPr>
          <w:rFonts w:hint="eastAsia"/>
        </w:rPr>
        <w:t>前3</w:t>
      </w:r>
      <w:r>
        <w:rPr>
          <w:rFonts w:hint="eastAsia"/>
          <w:vertAlign w:val="superscript"/>
        </w:rPr>
        <w:t xml:space="preserve"> </w:t>
      </w:r>
      <w:r>
        <w:rPr>
          <w:rFonts w:hint="eastAsia"/>
        </w:rPr>
        <w:t>d，白天温度26</w:t>
      </w:r>
      <w:r>
        <w:rPr>
          <w:rFonts w:hint="eastAsia"/>
          <w:vertAlign w:val="superscript"/>
        </w:rPr>
        <w:t xml:space="preserve"> </w:t>
      </w:r>
      <w:r>
        <w:rPr>
          <w:rFonts w:hint="eastAsia"/>
        </w:rPr>
        <w:t>℃～30</w:t>
      </w:r>
      <w:r>
        <w:rPr>
          <w:rFonts w:hint="eastAsia"/>
          <w:vertAlign w:val="superscript"/>
        </w:rPr>
        <w:t xml:space="preserve"> </w:t>
      </w:r>
      <w:r>
        <w:rPr>
          <w:rFonts w:hint="eastAsia"/>
        </w:rPr>
        <w:t>℃，夜间温度18</w:t>
      </w:r>
      <w:r>
        <w:rPr>
          <w:rFonts w:hint="eastAsia"/>
          <w:vertAlign w:val="subscript"/>
        </w:rPr>
        <w:t xml:space="preserve"> </w:t>
      </w:r>
      <w:r>
        <w:rPr>
          <w:rFonts w:hint="eastAsia"/>
        </w:rPr>
        <w:t>℃～22</w:t>
      </w:r>
      <w:r>
        <w:rPr>
          <w:rFonts w:hint="eastAsia"/>
          <w:vertAlign w:val="subscript"/>
        </w:rPr>
        <w:t xml:space="preserve"> </w:t>
      </w:r>
      <w:r>
        <w:rPr>
          <w:rFonts w:hint="eastAsia"/>
        </w:rPr>
        <w:t>℃；后3</w:t>
      </w:r>
      <w:r>
        <w:rPr>
          <w:rFonts w:hint="eastAsia"/>
          <w:vertAlign w:val="superscript"/>
        </w:rPr>
        <w:t xml:space="preserve"> </w:t>
      </w:r>
      <w:r>
        <w:rPr>
          <w:rFonts w:hint="eastAsia"/>
        </w:rPr>
        <w:t>d，白天温度23</w:t>
      </w:r>
      <w:r>
        <w:rPr>
          <w:rFonts w:hint="eastAsia"/>
          <w:vertAlign w:val="superscript"/>
        </w:rPr>
        <w:t xml:space="preserve"> </w:t>
      </w:r>
      <w:r>
        <w:rPr>
          <w:rFonts w:hint="eastAsia"/>
        </w:rPr>
        <w:t>℃～25</w:t>
      </w:r>
      <w:r>
        <w:rPr>
          <w:rFonts w:hint="eastAsia"/>
          <w:vertAlign w:val="subscript"/>
        </w:rPr>
        <w:t xml:space="preserve"> </w:t>
      </w:r>
      <w:r>
        <w:rPr>
          <w:rFonts w:hint="eastAsia"/>
        </w:rPr>
        <w:t>℃，夜间温度16</w:t>
      </w:r>
      <w:r>
        <w:rPr>
          <w:rFonts w:hint="eastAsia"/>
          <w:vertAlign w:val="subscript"/>
        </w:rPr>
        <w:t xml:space="preserve"> </w:t>
      </w:r>
      <w:r>
        <w:rPr>
          <w:rFonts w:hint="eastAsia"/>
        </w:rPr>
        <w:t>℃～20</w:t>
      </w:r>
      <w:r>
        <w:rPr>
          <w:rFonts w:hint="eastAsia"/>
          <w:vertAlign w:val="subscript"/>
        </w:rPr>
        <w:t xml:space="preserve"> </w:t>
      </w:r>
      <w:r>
        <w:rPr>
          <w:rFonts w:hint="eastAsia"/>
        </w:rPr>
        <w:t>℃。</w:t>
      </w:r>
    </w:p>
    <w:p>
      <w:pPr>
        <w:pStyle w:val="66"/>
        <w:spacing w:before="120" w:after="120"/>
      </w:pPr>
      <w:r>
        <w:rPr>
          <w:rFonts w:hint="eastAsia"/>
        </w:rPr>
        <w:t>湿度</w:t>
      </w:r>
    </w:p>
    <w:p>
      <w:pPr>
        <w:pStyle w:val="57"/>
        <w:ind w:firstLine="420"/>
      </w:pPr>
      <w:r>
        <w:rPr>
          <w:rFonts w:hint="eastAsia"/>
        </w:rPr>
        <w:t>在嫁接后1</w:t>
      </w:r>
      <w:r>
        <w:rPr>
          <w:rFonts w:hint="eastAsia"/>
          <w:vertAlign w:val="superscript"/>
        </w:rPr>
        <w:t xml:space="preserve"> </w:t>
      </w:r>
      <w:r>
        <w:rPr>
          <w:rFonts w:hint="eastAsia"/>
        </w:rPr>
        <w:t>d～2</w:t>
      </w:r>
      <w:r>
        <w:rPr>
          <w:rFonts w:hint="eastAsia"/>
          <w:vertAlign w:val="superscript"/>
        </w:rPr>
        <w:t xml:space="preserve"> </w:t>
      </w:r>
      <w:r>
        <w:rPr>
          <w:rFonts w:hint="eastAsia"/>
        </w:rPr>
        <w:t>d密闭，使小拱棚内的空气湿度到饱和状态，接穗生长点不应积水；嫁接后3</w:t>
      </w:r>
      <w:r>
        <w:rPr>
          <w:rFonts w:hint="eastAsia"/>
          <w:vertAlign w:val="superscript"/>
        </w:rPr>
        <w:t xml:space="preserve"> </w:t>
      </w:r>
      <w:r>
        <w:rPr>
          <w:rFonts w:hint="eastAsia"/>
        </w:rPr>
        <w:t>d～4</w:t>
      </w:r>
      <w:r>
        <w:rPr>
          <w:rFonts w:hint="eastAsia"/>
          <w:vertAlign w:val="superscript"/>
        </w:rPr>
        <w:t xml:space="preserve"> </w:t>
      </w:r>
      <w:r>
        <w:rPr>
          <w:rFonts w:hint="eastAsia"/>
        </w:rPr>
        <w:t>d，湿度保持在95</w:t>
      </w:r>
      <w:r>
        <w:rPr>
          <w:rFonts w:hint="eastAsia" w:hAnsi="宋体"/>
        </w:rPr>
        <w:t>％</w:t>
      </w:r>
      <w:r>
        <w:rPr>
          <w:rFonts w:hint="eastAsia"/>
        </w:rPr>
        <w:t>以上，可在清晨和傍晚湿度高时通风排湿；5</w:t>
      </w:r>
      <w:r>
        <w:rPr>
          <w:rFonts w:hint="eastAsia"/>
          <w:vertAlign w:val="superscript"/>
        </w:rPr>
        <w:t xml:space="preserve"> </w:t>
      </w:r>
      <w:r>
        <w:rPr>
          <w:rFonts w:hint="eastAsia"/>
        </w:rPr>
        <w:t>d后逐渐加大通风量和通风时间，通风的时间以接穗子叶不萎蔫为宜，湿度保持在85</w:t>
      </w:r>
      <w:r>
        <w:rPr>
          <w:rFonts w:hint="eastAsia" w:hAnsi="宋体"/>
        </w:rPr>
        <w:t>％</w:t>
      </w:r>
      <w:r>
        <w:rPr>
          <w:rFonts w:hint="eastAsia"/>
        </w:rPr>
        <w:t>，当接穗开始萎蔫时，要立即保湿遮荫，待其恢复后再通风，反复炼苗，嫁接7</w:t>
      </w:r>
      <w:r>
        <w:rPr>
          <w:rFonts w:hint="eastAsia"/>
          <w:vertAlign w:val="superscript"/>
        </w:rPr>
        <w:t xml:space="preserve"> </w:t>
      </w:r>
      <w:r>
        <w:rPr>
          <w:rFonts w:hint="eastAsia"/>
        </w:rPr>
        <w:t>d后湿度保持在75</w:t>
      </w:r>
      <w:r>
        <w:rPr>
          <w:rFonts w:hint="eastAsia" w:hAnsi="宋体"/>
        </w:rPr>
        <w:t>％</w:t>
      </w:r>
      <w:r>
        <w:rPr>
          <w:rFonts w:hint="eastAsia"/>
        </w:rPr>
        <w:t>～80</w:t>
      </w:r>
      <w:r>
        <w:rPr>
          <w:rFonts w:hint="eastAsia" w:hAnsi="宋体"/>
        </w:rPr>
        <w:t>％</w:t>
      </w:r>
      <w:r>
        <w:rPr>
          <w:rFonts w:hint="eastAsia"/>
        </w:rPr>
        <w:t>。</w:t>
      </w:r>
    </w:p>
    <w:p>
      <w:pPr>
        <w:pStyle w:val="66"/>
        <w:spacing w:before="120" w:after="120"/>
      </w:pPr>
      <w:r>
        <w:rPr>
          <w:rFonts w:hint="eastAsia"/>
        </w:rPr>
        <w:t>光照</w:t>
      </w:r>
    </w:p>
    <w:p>
      <w:pPr>
        <w:pStyle w:val="57"/>
        <w:ind w:firstLine="420"/>
      </w:pPr>
      <w:r>
        <w:rPr>
          <w:rFonts w:hint="eastAsia"/>
        </w:rPr>
        <w:t>嫁接1</w:t>
      </w:r>
      <w:r>
        <w:rPr>
          <w:rFonts w:hint="eastAsia"/>
          <w:vertAlign w:val="superscript"/>
        </w:rPr>
        <w:t xml:space="preserve"> </w:t>
      </w:r>
      <w:r>
        <w:rPr>
          <w:rFonts w:hint="eastAsia"/>
        </w:rPr>
        <w:t>d～3</w:t>
      </w:r>
      <w:r>
        <w:rPr>
          <w:rFonts w:hint="eastAsia"/>
          <w:vertAlign w:val="superscript"/>
        </w:rPr>
        <w:t xml:space="preserve"> </w:t>
      </w:r>
      <w:r>
        <w:rPr>
          <w:rFonts w:hint="eastAsia"/>
        </w:rPr>
        <w:t>d，嫁接苗可适当见光，以散射光为主，避免阳光直射，见光的时间短；嫁接后4</w:t>
      </w:r>
      <w:r>
        <w:rPr>
          <w:rFonts w:hint="eastAsia"/>
          <w:vertAlign w:val="superscript"/>
        </w:rPr>
        <w:t xml:space="preserve"> </w:t>
      </w:r>
      <w:r>
        <w:rPr>
          <w:rFonts w:hint="eastAsia"/>
        </w:rPr>
        <w:t>d～7</w:t>
      </w:r>
      <w:r>
        <w:rPr>
          <w:rFonts w:hint="eastAsia"/>
          <w:vertAlign w:val="superscript"/>
        </w:rPr>
        <w:t xml:space="preserve"> </w:t>
      </w:r>
      <w:r>
        <w:rPr>
          <w:rFonts w:hint="eastAsia"/>
        </w:rPr>
        <w:t>d可逐渐延长光照时间，加大光照强度，在早晚见光，中午光照强烈时采用遮阳网遮荫；嫁接7</w:t>
      </w:r>
      <w:r>
        <w:rPr>
          <w:rFonts w:hint="eastAsia"/>
          <w:vertAlign w:val="superscript"/>
        </w:rPr>
        <w:t xml:space="preserve"> </w:t>
      </w:r>
      <w:r>
        <w:rPr>
          <w:rFonts w:hint="eastAsia"/>
        </w:rPr>
        <w:t>d</w:t>
      </w:r>
      <w:r>
        <w:rPr>
          <w:rFonts w:hint="eastAsia" w:hAnsi="宋体"/>
        </w:rPr>
        <w:t>～</w:t>
      </w:r>
      <w:r>
        <w:rPr>
          <w:rFonts w:hint="eastAsia"/>
        </w:rPr>
        <w:t>10</w:t>
      </w:r>
      <w:r>
        <w:rPr>
          <w:rFonts w:hint="eastAsia"/>
          <w:vertAlign w:val="superscript"/>
        </w:rPr>
        <w:t xml:space="preserve"> </w:t>
      </w:r>
      <w:r>
        <w:rPr>
          <w:rFonts w:hint="eastAsia"/>
        </w:rPr>
        <w:t>d高温天气应进行遮荫；嫁接苗成活后可不遮荫。</w:t>
      </w:r>
    </w:p>
    <w:p>
      <w:pPr>
        <w:pStyle w:val="66"/>
        <w:spacing w:before="120" w:after="120"/>
      </w:pPr>
      <w:r>
        <w:rPr>
          <w:rFonts w:hint="eastAsia"/>
        </w:rPr>
        <w:t>肥水</w:t>
      </w:r>
    </w:p>
    <w:p>
      <w:pPr>
        <w:pStyle w:val="57"/>
        <w:ind w:firstLine="420"/>
      </w:pPr>
      <w:r>
        <w:rPr>
          <w:rFonts w:hint="eastAsia"/>
        </w:rPr>
        <w:t>嫁接苗成活后视天气状况和基质湿度情况喷施1.00‰～1.25‰水溶性复合肥（15-15-15），每5</w:t>
      </w:r>
      <w:r>
        <w:rPr>
          <w:rFonts w:hint="eastAsia"/>
          <w:vertAlign w:val="superscript"/>
        </w:rPr>
        <w:t xml:space="preserve"> </w:t>
      </w:r>
      <w:r>
        <w:rPr>
          <w:rFonts w:hint="eastAsia"/>
        </w:rPr>
        <w:t>d</w:t>
      </w:r>
      <w:r>
        <w:rPr>
          <w:rFonts w:hint="eastAsia" w:hAnsi="宋体"/>
        </w:rPr>
        <w:t>～</w:t>
      </w:r>
      <w:r>
        <w:rPr>
          <w:rFonts w:hint="eastAsia"/>
        </w:rPr>
        <w:t>7</w:t>
      </w:r>
      <w:r>
        <w:rPr>
          <w:rFonts w:hint="eastAsia"/>
          <w:vertAlign w:val="superscript"/>
        </w:rPr>
        <w:t xml:space="preserve"> </w:t>
      </w:r>
      <w:r>
        <w:rPr>
          <w:rFonts w:hint="eastAsia"/>
        </w:rPr>
        <w:t>d喷施1次。</w:t>
      </w:r>
    </w:p>
    <w:p>
      <w:pPr>
        <w:pStyle w:val="66"/>
        <w:spacing w:before="120" w:after="120"/>
      </w:pPr>
      <w:r>
        <w:rPr>
          <w:rFonts w:hint="eastAsia"/>
        </w:rPr>
        <w:t>摘除萌蘖</w:t>
      </w:r>
    </w:p>
    <w:p>
      <w:pPr>
        <w:pStyle w:val="57"/>
        <w:ind w:firstLine="420"/>
      </w:pPr>
      <w:r>
        <w:rPr>
          <w:rFonts w:hint="eastAsia"/>
        </w:rPr>
        <w:t>嫁接苗成活后，应及时摘除砧木上萌发的不定芽，除萌蘖时不应损伤子叶及摇摆接穗。</w:t>
      </w:r>
    </w:p>
    <w:p>
      <w:pPr>
        <w:pStyle w:val="66"/>
        <w:spacing w:before="120" w:after="120"/>
      </w:pPr>
      <w:r>
        <w:rPr>
          <w:rFonts w:hint="eastAsia"/>
        </w:rPr>
        <w:t>拼苗</w:t>
      </w:r>
    </w:p>
    <w:p>
      <w:pPr>
        <w:pStyle w:val="57"/>
        <w:ind w:firstLine="420"/>
        <w:rPr>
          <w:rFonts w:hint="eastAsia"/>
        </w:rPr>
      </w:pPr>
      <w:r>
        <w:rPr>
          <w:rFonts w:hint="eastAsia"/>
        </w:rPr>
        <w:t>摘除萌蘖时进行拼苗，将大小一致、健壮的嫁接苗移至同一穴盘；小苗、弱苗统一管理。病苗及时处理。</w:t>
      </w:r>
    </w:p>
    <w:p>
      <w:pPr>
        <w:pStyle w:val="57"/>
        <w:ind w:firstLine="420"/>
      </w:pPr>
    </w:p>
    <w:p>
      <w:pPr>
        <w:pStyle w:val="66"/>
        <w:spacing w:before="120" w:after="120"/>
      </w:pPr>
      <w:r>
        <w:rPr>
          <w:rFonts w:hint="eastAsia"/>
        </w:rPr>
        <w:t>炼苗</w:t>
      </w:r>
    </w:p>
    <w:p>
      <w:pPr>
        <w:pStyle w:val="57"/>
        <w:ind w:firstLine="420"/>
      </w:pPr>
      <w:r>
        <w:rPr>
          <w:rFonts w:hint="eastAsia"/>
        </w:rPr>
        <w:t>出苗前5</w:t>
      </w:r>
      <w:r>
        <w:rPr>
          <w:rFonts w:hint="eastAsia"/>
          <w:vertAlign w:val="superscript"/>
        </w:rPr>
        <w:t xml:space="preserve"> </w:t>
      </w:r>
      <w:r>
        <w:rPr>
          <w:rFonts w:hint="eastAsia"/>
        </w:rPr>
        <w:t>d～7</w:t>
      </w:r>
      <w:r>
        <w:rPr>
          <w:rFonts w:hint="eastAsia"/>
          <w:vertAlign w:val="superscript"/>
        </w:rPr>
        <w:t xml:space="preserve"> </w:t>
      </w:r>
      <w:r>
        <w:rPr>
          <w:rFonts w:hint="eastAsia"/>
        </w:rPr>
        <w:t>d开始炼苗。冬春季不加温，温度3</w:t>
      </w:r>
      <w:r>
        <w:rPr>
          <w:rFonts w:hint="eastAsia"/>
          <w:vertAlign w:val="subscript"/>
        </w:rPr>
        <w:t xml:space="preserve"> </w:t>
      </w:r>
      <w:r>
        <w:rPr>
          <w:rFonts w:hint="eastAsia"/>
        </w:rPr>
        <w:t>℃～5</w:t>
      </w:r>
      <w:r>
        <w:rPr>
          <w:rFonts w:hint="eastAsia"/>
          <w:vertAlign w:val="superscript"/>
        </w:rPr>
        <w:t xml:space="preserve"> </w:t>
      </w:r>
      <w:r>
        <w:rPr>
          <w:rFonts w:hint="eastAsia"/>
        </w:rPr>
        <w:t>℃，控制水肥；夏季不遮阴降温，炼壮苗。出苗前喷雾1次为75</w:t>
      </w:r>
      <w:r>
        <w:rPr>
          <w:rFonts w:hint="eastAsia" w:hAnsi="宋体"/>
        </w:rPr>
        <w:t>％</w:t>
      </w:r>
      <w:r>
        <w:rPr>
          <w:rFonts w:hint="eastAsia"/>
        </w:rPr>
        <w:t>百菌清可湿性粉剂600倍液，或70</w:t>
      </w:r>
      <w:r>
        <w:rPr>
          <w:rFonts w:hint="eastAsia" w:hAnsi="宋体"/>
        </w:rPr>
        <w:t>％</w:t>
      </w:r>
      <w:r>
        <w:rPr>
          <w:rFonts w:hint="eastAsia"/>
        </w:rPr>
        <w:t>代森锰锌可湿性粉剂800倍液等保护性杀菌剂。</w:t>
      </w:r>
    </w:p>
    <w:p>
      <w:pPr>
        <w:pStyle w:val="106"/>
        <w:spacing w:before="120" w:after="120"/>
      </w:pPr>
      <w:r>
        <w:rPr>
          <w:rFonts w:hint="eastAsia"/>
        </w:rPr>
        <w:t>病虫害防治</w:t>
      </w:r>
    </w:p>
    <w:p>
      <w:pPr>
        <w:pStyle w:val="57"/>
        <w:ind w:firstLine="420"/>
      </w:pPr>
      <w:r>
        <w:rPr>
          <w:rFonts w:hint="eastAsia"/>
        </w:rPr>
        <w:t>主要病虫害有猝倒病、立枯病、蚜虫、白粉虱等。病害防治可在播种后用75</w:t>
      </w:r>
      <w:r>
        <w:rPr>
          <w:rFonts w:hint="eastAsia" w:hAnsi="宋体"/>
        </w:rPr>
        <w:t>％</w:t>
      </w:r>
      <w:r>
        <w:rPr>
          <w:rFonts w:hint="eastAsia"/>
        </w:rPr>
        <w:t>百菌清可湿性粉剂800倍液或80</w:t>
      </w:r>
      <w:r>
        <w:rPr>
          <w:rFonts w:hint="eastAsia" w:hAnsi="宋体"/>
        </w:rPr>
        <w:t>％</w:t>
      </w:r>
      <w:r>
        <w:rPr>
          <w:rFonts w:hint="eastAsia"/>
        </w:rPr>
        <w:t>代森锰锌可湿性粉剂1</w:t>
      </w:r>
      <w:r>
        <w:rPr>
          <w:rFonts w:hint="eastAsia"/>
          <w:vertAlign w:val="superscript"/>
        </w:rPr>
        <w:t xml:space="preserve"> </w:t>
      </w:r>
      <w:r>
        <w:rPr>
          <w:rFonts w:hint="eastAsia"/>
        </w:rPr>
        <w:t>000倍液，每隔7</w:t>
      </w:r>
      <w:r>
        <w:rPr>
          <w:rFonts w:hint="eastAsia"/>
          <w:vertAlign w:val="superscript"/>
        </w:rPr>
        <w:t xml:space="preserve"> </w:t>
      </w:r>
      <w:r>
        <w:rPr>
          <w:rFonts w:hint="eastAsia"/>
        </w:rPr>
        <w:t>d喷药1次。虫害防治可用10</w:t>
      </w:r>
      <w:r>
        <w:rPr>
          <w:rFonts w:hint="eastAsia" w:hAnsi="宋体"/>
        </w:rPr>
        <w:t>％</w:t>
      </w:r>
      <w:r>
        <w:rPr>
          <w:rFonts w:hint="eastAsia"/>
        </w:rPr>
        <w:t>吡虫啉可湿性粉剂2</w:t>
      </w:r>
      <w:r>
        <w:rPr>
          <w:rFonts w:hint="eastAsia"/>
          <w:vertAlign w:val="superscript"/>
        </w:rPr>
        <w:t xml:space="preserve"> </w:t>
      </w:r>
      <w:r>
        <w:rPr>
          <w:rFonts w:hint="eastAsia"/>
        </w:rPr>
        <w:t>000倍液喷雾。使用药剂应符合GB/T 8321（所有部分）的规定。</w:t>
      </w:r>
    </w:p>
    <w:p>
      <w:pPr>
        <w:pStyle w:val="105"/>
        <w:spacing w:before="240" w:after="240"/>
      </w:pPr>
      <w:r>
        <w:rPr>
          <w:rFonts w:hint="eastAsia"/>
        </w:rPr>
        <w:t>出圃</w:t>
      </w:r>
    </w:p>
    <w:p>
      <w:pPr>
        <w:pStyle w:val="106"/>
        <w:spacing w:before="120" w:after="120"/>
      </w:pPr>
      <w:r>
        <w:rPr>
          <w:rFonts w:hint="eastAsia"/>
        </w:rPr>
        <w:t>壮苗标准</w:t>
      </w:r>
    </w:p>
    <w:p>
      <w:pPr>
        <w:pStyle w:val="57"/>
        <w:ind w:firstLine="420"/>
      </w:pPr>
      <w:r>
        <w:rPr>
          <w:rFonts w:hint="eastAsia"/>
        </w:rPr>
        <w:t>子叶完整，茎秆粗壮，嫁接处愈合良好，具有3</w:t>
      </w:r>
      <w:r>
        <w:rPr>
          <w:rFonts w:hint="eastAsia" w:hAnsi="宋体"/>
        </w:rPr>
        <w:t>～</w:t>
      </w:r>
      <w:r>
        <w:rPr>
          <w:rFonts w:hint="eastAsia"/>
        </w:rPr>
        <w:t>4片真叶，苗高15</w:t>
      </w:r>
      <w:r>
        <w:rPr>
          <w:rFonts w:hint="eastAsia"/>
          <w:vertAlign w:val="superscript"/>
        </w:rPr>
        <w:t xml:space="preserve"> </w:t>
      </w:r>
      <w:r>
        <w:rPr>
          <w:rFonts w:hint="eastAsia"/>
        </w:rPr>
        <w:t>cm，叶色浓绿，根系完好，无病虫害。</w:t>
      </w:r>
    </w:p>
    <w:p>
      <w:pPr>
        <w:pStyle w:val="106"/>
        <w:spacing w:before="120" w:after="120"/>
      </w:pPr>
      <w:r>
        <w:rPr>
          <w:rFonts w:hint="eastAsia"/>
        </w:rPr>
        <w:t>组批</w:t>
      </w:r>
    </w:p>
    <w:p>
      <w:pPr>
        <w:pStyle w:val="57"/>
        <w:ind w:firstLine="420"/>
      </w:pPr>
      <w:r>
        <w:rPr>
          <w:rFonts w:hint="eastAsia"/>
        </w:rPr>
        <w:t>同一产地、同一品种、同一批量的嫁接苗作为一个检验批次。</w:t>
      </w:r>
    </w:p>
    <w:p>
      <w:pPr>
        <w:pStyle w:val="106"/>
        <w:spacing w:before="120" w:after="120"/>
      </w:pPr>
      <w:r>
        <w:rPr>
          <w:rFonts w:hint="eastAsia"/>
        </w:rPr>
        <w:t>抽样</w:t>
      </w:r>
    </w:p>
    <w:p>
      <w:pPr>
        <w:pStyle w:val="57"/>
        <w:ind w:firstLine="420"/>
      </w:pPr>
      <w:r>
        <w:rPr>
          <w:rFonts w:hint="eastAsia"/>
        </w:rPr>
        <w:t>检验采用随机抽样的方法，抽样数量按表1的规定进行。</w:t>
      </w:r>
    </w:p>
    <w:p>
      <w:pPr>
        <w:pStyle w:val="113"/>
        <w:spacing w:before="120" w:after="120"/>
      </w:pPr>
      <w:r>
        <w:rPr>
          <w:rFonts w:hint="eastAsia"/>
        </w:rPr>
        <w:t>嫁接苗抽样数量标准表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7" w:type="dxa"/>
            <w:tcBorders>
              <w:top w:val="single" w:color="auto" w:sz="8" w:space="0"/>
              <w:bottom w:val="single" w:color="auto" w:sz="8" w:space="0"/>
            </w:tcBorders>
            <w:shd w:val="clear" w:color="auto" w:fill="auto"/>
            <w:vAlign w:val="center"/>
          </w:tcPr>
          <w:p>
            <w:pPr>
              <w:jc w:val="center"/>
              <w:rPr>
                <w:rFonts w:ascii="宋体" w:hAnsi="宋体"/>
                <w:sz w:val="18"/>
                <w:szCs w:val="18"/>
              </w:rPr>
            </w:pPr>
            <w:r>
              <w:rPr>
                <w:rFonts w:hint="eastAsia" w:ascii="宋体" w:hAnsi="宋体"/>
                <w:sz w:val="18"/>
                <w:szCs w:val="18"/>
              </w:rPr>
              <w:t>批量数（株）</w:t>
            </w:r>
          </w:p>
        </w:tc>
        <w:tc>
          <w:tcPr>
            <w:tcW w:w="4687" w:type="dxa"/>
            <w:tcBorders>
              <w:top w:val="single" w:color="auto" w:sz="8" w:space="0"/>
              <w:bottom w:val="single" w:color="auto" w:sz="8" w:space="0"/>
            </w:tcBorders>
            <w:shd w:val="clear" w:color="auto" w:fill="auto"/>
            <w:vAlign w:val="center"/>
          </w:tcPr>
          <w:p>
            <w:pPr>
              <w:jc w:val="center"/>
              <w:rPr>
                <w:rFonts w:ascii="宋体" w:hAnsi="宋体"/>
                <w:sz w:val="18"/>
                <w:szCs w:val="18"/>
              </w:rPr>
            </w:pPr>
            <w:r>
              <w:rPr>
                <w:rFonts w:hint="eastAsia" w:ascii="宋体" w:hAnsi="宋体"/>
                <w:sz w:val="18"/>
                <w:szCs w:val="18"/>
              </w:rPr>
              <w:t>样本数（株）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tcBorders>
              <w:top w:val="single" w:color="auto" w:sz="8" w:space="0"/>
            </w:tcBorders>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≤10</w:t>
            </w:r>
            <w:r>
              <w:rPr>
                <w:rFonts w:hint="eastAsia" w:ascii="Times New Roman" w:hAnsi="Times New Roman" w:cs="Times New Roman"/>
                <w:sz w:val="18"/>
                <w:szCs w:val="18"/>
                <w:vertAlign w:val="superscript"/>
              </w:rPr>
              <w:t> </w:t>
            </w:r>
            <w:r>
              <w:rPr>
                <w:rFonts w:hint="eastAsia" w:cs="Times New Roman"/>
                <w:sz w:val="18"/>
                <w:szCs w:val="18"/>
              </w:rPr>
              <w:t>000</w:t>
            </w:r>
          </w:p>
        </w:tc>
        <w:tc>
          <w:tcPr>
            <w:tcW w:w="4687" w:type="dxa"/>
            <w:tcBorders>
              <w:top w:val="single" w:color="auto" w:sz="8" w:space="0"/>
            </w:tcBorders>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10</w:t>
            </w:r>
            <w:r>
              <w:rPr>
                <w:rFonts w:hint="eastAsia" w:ascii="Times New Roman" w:hAnsi="Times New Roman" w:cs="Times New Roman"/>
                <w:sz w:val="18"/>
                <w:szCs w:val="18"/>
                <w:vertAlign w:val="superscript"/>
              </w:rPr>
              <w:t> </w:t>
            </w:r>
            <w:r>
              <w:rPr>
                <w:rFonts w:hint="eastAsia" w:cs="Times New Roman"/>
                <w:sz w:val="18"/>
                <w:szCs w:val="18"/>
              </w:rPr>
              <w:t>000～50</w:t>
            </w:r>
            <w:r>
              <w:rPr>
                <w:rFonts w:hint="eastAsia" w:ascii="Times New Roman" w:hAnsi="Times New Roman" w:cs="Times New Roman"/>
                <w:sz w:val="18"/>
                <w:szCs w:val="18"/>
                <w:vertAlign w:val="superscript"/>
              </w:rPr>
              <w:t> </w:t>
            </w:r>
            <w:r>
              <w:rPr>
                <w:rFonts w:hint="eastAsia" w:cs="Times New Roman"/>
                <w:sz w:val="18"/>
                <w:szCs w:val="18"/>
              </w:rPr>
              <w:t>000</w:t>
            </w:r>
          </w:p>
        </w:tc>
        <w:tc>
          <w:tcPr>
            <w:tcW w:w="4687" w:type="dxa"/>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50</w:t>
            </w:r>
            <w:r>
              <w:rPr>
                <w:rFonts w:hint="eastAsia" w:ascii="Times New Roman" w:hAnsi="Times New Roman" w:cs="Times New Roman"/>
                <w:sz w:val="18"/>
                <w:szCs w:val="18"/>
                <w:vertAlign w:val="superscript"/>
              </w:rPr>
              <w:t> </w:t>
            </w:r>
            <w:r>
              <w:rPr>
                <w:rFonts w:hint="eastAsia" w:cs="Times New Roman"/>
                <w:sz w:val="18"/>
                <w:szCs w:val="18"/>
              </w:rPr>
              <w:t>000～100</w:t>
            </w:r>
            <w:r>
              <w:rPr>
                <w:rFonts w:hint="eastAsia" w:ascii="Times New Roman" w:hAnsi="Times New Roman" w:cs="Times New Roman"/>
                <w:sz w:val="18"/>
                <w:szCs w:val="18"/>
                <w:vertAlign w:val="superscript"/>
              </w:rPr>
              <w:t> </w:t>
            </w:r>
            <w:r>
              <w:rPr>
                <w:rFonts w:hint="eastAsia" w:cs="Times New Roman"/>
                <w:sz w:val="18"/>
                <w:szCs w:val="18"/>
              </w:rPr>
              <w:t>000</w:t>
            </w:r>
          </w:p>
        </w:tc>
        <w:tc>
          <w:tcPr>
            <w:tcW w:w="4687" w:type="dxa"/>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7" w:type="dxa"/>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≥100</w:t>
            </w:r>
            <w:r>
              <w:rPr>
                <w:rFonts w:hint="eastAsia" w:ascii="Times New Roman" w:hAnsi="Times New Roman" w:cs="Times New Roman"/>
                <w:sz w:val="18"/>
                <w:szCs w:val="18"/>
                <w:vertAlign w:val="superscript"/>
              </w:rPr>
              <w:t> </w:t>
            </w:r>
            <w:r>
              <w:rPr>
                <w:rFonts w:hint="eastAsia" w:cs="Times New Roman"/>
                <w:sz w:val="18"/>
                <w:szCs w:val="18"/>
              </w:rPr>
              <w:t>000</w:t>
            </w:r>
          </w:p>
        </w:tc>
        <w:tc>
          <w:tcPr>
            <w:tcW w:w="4687" w:type="dxa"/>
            <w:shd w:val="clear" w:color="auto" w:fill="auto"/>
            <w:vAlign w:val="center"/>
          </w:tcPr>
          <w:p>
            <w:pPr>
              <w:pStyle w:val="232"/>
              <w:spacing w:line="400" w:lineRule="exact"/>
              <w:ind w:firstLine="0" w:firstLineChars="0"/>
              <w:jc w:val="center"/>
              <w:rPr>
                <w:rFonts w:cs="Times New Roman"/>
                <w:sz w:val="18"/>
                <w:szCs w:val="18"/>
              </w:rPr>
            </w:pPr>
            <w:r>
              <w:rPr>
                <w:rFonts w:hint="eastAsia" w:cs="Times New Roman"/>
                <w:sz w:val="18"/>
                <w:szCs w:val="18"/>
              </w:rPr>
              <w:t>300</w:t>
            </w:r>
          </w:p>
        </w:tc>
      </w:tr>
    </w:tbl>
    <w:p>
      <w:pPr>
        <w:pStyle w:val="106"/>
        <w:spacing w:before="120" w:after="120"/>
      </w:pPr>
      <w:r>
        <w:rPr>
          <w:rFonts w:hint="eastAsia"/>
        </w:rPr>
        <w:t>检测指标</w:t>
      </w:r>
    </w:p>
    <w:p>
      <w:pPr>
        <w:pStyle w:val="57"/>
        <w:ind w:firstLine="420"/>
      </w:pPr>
      <w:r>
        <w:rPr>
          <w:rFonts w:hint="eastAsia"/>
        </w:rPr>
        <w:t>包括形态指标、病虫害情况和机械损伤。</w:t>
      </w:r>
    </w:p>
    <w:p>
      <w:pPr>
        <w:pStyle w:val="106"/>
        <w:spacing w:before="120" w:after="120"/>
      </w:pPr>
      <w:r>
        <w:rPr>
          <w:rFonts w:hint="eastAsia"/>
        </w:rPr>
        <w:t>判定规则</w:t>
      </w:r>
    </w:p>
    <w:p>
      <w:pPr>
        <w:pStyle w:val="57"/>
        <w:ind w:firstLine="420"/>
        <w:rPr>
          <w:rFonts w:hAnsi="宋体"/>
        </w:rPr>
      </w:pPr>
      <w:r>
        <w:rPr>
          <w:rFonts w:hint="eastAsia"/>
        </w:rPr>
        <w:t>单项指标不合格率≥5</w:t>
      </w:r>
      <w:r>
        <w:rPr>
          <w:rFonts w:hint="eastAsia" w:hAnsi="宋体"/>
        </w:rPr>
        <w:t>％</w:t>
      </w:r>
      <w:r>
        <w:rPr>
          <w:rFonts w:hint="eastAsia"/>
        </w:rPr>
        <w:t>，或综合指标不合格率≥20</w:t>
      </w:r>
      <w:r>
        <w:rPr>
          <w:rFonts w:hint="eastAsia" w:hAnsi="宋体"/>
        </w:rPr>
        <w:t>％，判定该批次为不合格。</w:t>
      </w:r>
    </w:p>
    <w:p>
      <w:pPr>
        <w:pStyle w:val="105"/>
        <w:spacing w:before="240" w:after="240"/>
      </w:pPr>
      <w:r>
        <w:rPr>
          <w:rFonts w:hint="eastAsia"/>
        </w:rPr>
        <w:t>包装、标志和运输</w:t>
      </w:r>
    </w:p>
    <w:p>
      <w:pPr>
        <w:pStyle w:val="106"/>
        <w:spacing w:before="120" w:after="120"/>
      </w:pPr>
      <w:r>
        <w:rPr>
          <w:rFonts w:hint="eastAsia"/>
        </w:rPr>
        <w:t>包装</w:t>
      </w:r>
    </w:p>
    <w:p>
      <w:pPr>
        <w:pStyle w:val="57"/>
        <w:ind w:firstLine="420"/>
      </w:pPr>
      <w:r>
        <w:rPr>
          <w:rFonts w:hint="eastAsia"/>
        </w:rPr>
        <w:t>用定制的瓦楞纸箱或硬塑料箱等包装。</w:t>
      </w:r>
    </w:p>
    <w:p>
      <w:pPr>
        <w:pStyle w:val="106"/>
        <w:spacing w:before="120" w:after="120"/>
      </w:pPr>
      <w:r>
        <w:rPr>
          <w:rFonts w:hint="eastAsia"/>
        </w:rPr>
        <w:t>标志</w:t>
      </w:r>
    </w:p>
    <w:p>
      <w:pPr>
        <w:pStyle w:val="57"/>
        <w:ind w:firstLine="420"/>
      </w:pPr>
      <w:r>
        <w:rPr>
          <w:rFonts w:hint="eastAsia"/>
        </w:rPr>
        <w:t>应注明种苗种类、品种、苗龄、装箱容量和生产单位。</w:t>
      </w:r>
    </w:p>
    <w:p>
      <w:pPr>
        <w:pStyle w:val="106"/>
        <w:spacing w:before="120" w:after="120"/>
      </w:pPr>
      <w:r>
        <w:rPr>
          <w:rFonts w:hint="eastAsia"/>
        </w:rPr>
        <w:t>运输</w:t>
      </w:r>
    </w:p>
    <w:p>
      <w:pPr>
        <w:pStyle w:val="57"/>
        <w:ind w:firstLine="420"/>
        <w:rPr>
          <w:rFonts w:hint="eastAsia"/>
        </w:rPr>
      </w:pPr>
      <w:r>
        <w:rPr>
          <w:rFonts w:hint="eastAsia"/>
        </w:rPr>
        <w:t>长距离运输采用专用保温车，配套穴盘搁架。冬季车内温度保持10</w:t>
      </w:r>
      <w:r>
        <w:rPr>
          <w:rFonts w:hint="eastAsia"/>
          <w:vertAlign w:val="subscript"/>
        </w:rPr>
        <w:t xml:space="preserve"> </w:t>
      </w:r>
      <w:r>
        <w:rPr>
          <w:rFonts w:hint="eastAsia"/>
        </w:rPr>
        <w:t>℃～15</w:t>
      </w:r>
      <w:r>
        <w:rPr>
          <w:rFonts w:hint="eastAsia"/>
          <w:vertAlign w:val="subscript"/>
        </w:rPr>
        <w:t xml:space="preserve"> </w:t>
      </w:r>
      <w:r>
        <w:rPr>
          <w:rFonts w:hint="eastAsia"/>
        </w:rPr>
        <w:t>℃，其他季节不高于25</w:t>
      </w:r>
      <w:r>
        <w:rPr>
          <w:rFonts w:hint="eastAsia"/>
          <w:vertAlign w:val="subscript"/>
        </w:rPr>
        <w:t xml:space="preserve"> </w:t>
      </w:r>
      <w:r>
        <w:rPr>
          <w:rFonts w:hint="eastAsia"/>
        </w:rPr>
        <w:t>℃；车内空气相对湿度保持在70</w:t>
      </w:r>
      <w:r>
        <w:rPr>
          <w:rFonts w:hint="eastAsia" w:hAnsi="宋体"/>
        </w:rPr>
        <w:t>％</w:t>
      </w:r>
      <w:r>
        <w:rPr>
          <w:rFonts w:hint="eastAsia"/>
        </w:rPr>
        <w:t>。</w:t>
      </w:r>
    </w:p>
    <w:p>
      <w:pPr>
        <w:pStyle w:val="57"/>
        <w:ind w:firstLine="420"/>
      </w:pPr>
    </w:p>
    <w:p>
      <w:pPr>
        <w:pStyle w:val="105"/>
        <w:spacing w:before="240" w:after="240"/>
      </w:pPr>
      <w:r>
        <w:rPr>
          <w:rFonts w:hint="eastAsia"/>
        </w:rPr>
        <w:t>生产档案</w:t>
      </w:r>
    </w:p>
    <w:p>
      <w:pPr>
        <w:pStyle w:val="57"/>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start="1"/>
          <w:cols w:space="425" w:num="1"/>
          <w:formProt w:val="0"/>
          <w:docGrid w:linePitch="312" w:charSpace="0"/>
        </w:sectPr>
      </w:pPr>
      <w:r>
        <w:rPr>
          <w:rFonts w:hint="eastAsia"/>
        </w:rPr>
        <w:t>应建立节瓜集约化嫁接育苗生产技术档案。操作者应对育苗中各生产环节进行详细记录（参见附录A），原始记录应保留2年。</w:t>
      </w:r>
    </w:p>
    <w:bookmarkEnd w:id="20"/>
    <w:p>
      <w:pPr>
        <w:pStyle w:val="199"/>
      </w:pPr>
      <w:bookmarkStart w:id="39" w:name="BookMark5"/>
    </w:p>
    <w:p>
      <w:pPr>
        <w:pStyle w:val="200"/>
      </w:pPr>
    </w:p>
    <w:p>
      <w:pPr>
        <w:pStyle w:val="77"/>
        <w:spacing w:before="60" w:after="120"/>
      </w:pPr>
      <w:r>
        <w:br w:type="textWrapping"/>
      </w:r>
      <w:r>
        <w:rPr>
          <w:rFonts w:hint="eastAsia"/>
        </w:rPr>
        <w:t>（资料性）</w:t>
      </w:r>
      <w:r>
        <w:br w:type="textWrapping"/>
      </w:r>
      <w:r>
        <w:rPr>
          <w:rFonts w:hint="eastAsia"/>
        </w:rPr>
        <w:t>节瓜嫁接育苗生产记录及环境记录表</w:t>
      </w:r>
    </w:p>
    <w:p>
      <w:pPr>
        <w:pStyle w:val="212"/>
      </w:pPr>
      <w:r>
        <w:rPr>
          <w:rFonts w:hint="eastAsia"/>
        </w:rPr>
        <w:t>节瓜嫁接育苗生产记录表见表A.1。</w:t>
      </w:r>
    </w:p>
    <w:p>
      <w:pPr>
        <w:pStyle w:val="78"/>
        <w:spacing w:before="120" w:after="120"/>
      </w:pPr>
      <w:r>
        <w:rPr>
          <w:rFonts w:hint="eastAsia"/>
        </w:rPr>
        <w:t>节瓜嫁接育苗生产记录表</w:t>
      </w:r>
    </w:p>
    <w:p>
      <w:r>
        <w:rPr>
          <w:rFonts w:hint="eastAsia" w:ascii="宋体" w:hAnsi="宋体"/>
        </w:rPr>
        <w:t>工厂名称：             车间编号：             车间负责人：          电话：</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73"/>
        <w:gridCol w:w="1171"/>
        <w:gridCol w:w="1171"/>
        <w:gridCol w:w="1171"/>
        <w:gridCol w:w="1171"/>
        <w:gridCol w:w="1171"/>
        <w:gridCol w:w="1171"/>
        <w:gridCol w:w="11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74" w:type="dxa"/>
            <w:gridSpan w:val="8"/>
            <w:tcBorders>
              <w:top w:val="single" w:color="auto" w:sz="8" w:space="0"/>
              <w:bottom w:val="single" w:color="auto" w:sz="8" w:space="0"/>
            </w:tcBorders>
          </w:tcPr>
          <w:p>
            <w:pPr>
              <w:pStyle w:val="179"/>
              <w:spacing w:line="400" w:lineRule="exact"/>
              <w:jc w:val="left"/>
            </w:pPr>
            <w:r>
              <w:rPr>
                <w:rFonts w:hint="eastAsia"/>
              </w:rPr>
              <w:t>砧木基本信息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Borders>
              <w:top w:val="single" w:color="auto" w:sz="8" w:space="0"/>
            </w:tcBorders>
          </w:tcPr>
          <w:p>
            <w:pPr>
              <w:pStyle w:val="179"/>
              <w:spacing w:line="400" w:lineRule="exact"/>
            </w:pPr>
            <w:r>
              <w:rPr>
                <w:rFonts w:hint="eastAsia"/>
              </w:rPr>
              <w:t>砧木种类</w:t>
            </w:r>
          </w:p>
        </w:tc>
        <w:tc>
          <w:tcPr>
            <w:tcW w:w="1171" w:type="dxa"/>
            <w:tcBorders>
              <w:top w:val="single" w:color="auto" w:sz="8" w:space="0"/>
            </w:tcBorders>
          </w:tcPr>
          <w:p>
            <w:pPr>
              <w:pStyle w:val="179"/>
              <w:spacing w:line="400" w:lineRule="exact"/>
            </w:pPr>
          </w:p>
        </w:tc>
        <w:tc>
          <w:tcPr>
            <w:tcW w:w="1171" w:type="dxa"/>
            <w:tcBorders>
              <w:top w:val="single" w:color="auto" w:sz="8" w:space="0"/>
            </w:tcBorders>
          </w:tcPr>
          <w:p>
            <w:pPr>
              <w:pStyle w:val="179"/>
              <w:spacing w:line="400" w:lineRule="exact"/>
            </w:pPr>
            <w:r>
              <w:rPr>
                <w:rFonts w:hint="eastAsia"/>
              </w:rPr>
              <w:t>播种量/kg</w:t>
            </w:r>
          </w:p>
        </w:tc>
        <w:tc>
          <w:tcPr>
            <w:tcW w:w="1171" w:type="dxa"/>
            <w:tcBorders>
              <w:top w:val="single" w:color="auto" w:sz="8" w:space="0"/>
            </w:tcBorders>
          </w:tcPr>
          <w:p>
            <w:pPr>
              <w:pStyle w:val="179"/>
              <w:spacing w:line="400" w:lineRule="exact"/>
            </w:pPr>
          </w:p>
        </w:tc>
        <w:tc>
          <w:tcPr>
            <w:tcW w:w="1171" w:type="dxa"/>
            <w:tcBorders>
              <w:top w:val="single" w:color="auto" w:sz="8" w:space="0"/>
            </w:tcBorders>
          </w:tcPr>
          <w:p>
            <w:pPr>
              <w:pStyle w:val="179"/>
              <w:spacing w:line="400" w:lineRule="exact"/>
            </w:pPr>
            <w:r>
              <w:rPr>
                <w:rFonts w:hint="eastAsia"/>
              </w:rPr>
              <w:t>催芽时间</w:t>
            </w:r>
          </w:p>
        </w:tc>
        <w:tc>
          <w:tcPr>
            <w:tcW w:w="1171" w:type="dxa"/>
            <w:tcBorders>
              <w:top w:val="single" w:color="auto" w:sz="8" w:space="0"/>
            </w:tcBorders>
            <w:shd w:val="clear" w:color="auto" w:fill="auto"/>
            <w:vAlign w:val="center"/>
          </w:tcPr>
          <w:p>
            <w:pPr>
              <w:pStyle w:val="179"/>
              <w:spacing w:line="400" w:lineRule="exact"/>
            </w:pPr>
          </w:p>
        </w:tc>
        <w:tc>
          <w:tcPr>
            <w:tcW w:w="1171" w:type="dxa"/>
            <w:tcBorders>
              <w:top w:val="single" w:color="auto" w:sz="8" w:space="0"/>
            </w:tcBorders>
            <w:shd w:val="clear" w:color="auto" w:fill="auto"/>
            <w:vAlign w:val="center"/>
          </w:tcPr>
          <w:p>
            <w:pPr>
              <w:pStyle w:val="179"/>
              <w:spacing w:line="400" w:lineRule="exact"/>
            </w:pPr>
            <w:r>
              <w:rPr>
                <w:rFonts w:hint="eastAsia"/>
              </w:rPr>
              <w:t>出芽时间</w:t>
            </w:r>
          </w:p>
        </w:tc>
        <w:tc>
          <w:tcPr>
            <w:tcW w:w="1175" w:type="dxa"/>
            <w:tcBorders>
              <w:top w:val="single" w:color="auto" w:sz="8" w:space="0"/>
            </w:tcBorders>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砧木品种</w:t>
            </w:r>
          </w:p>
        </w:tc>
        <w:tc>
          <w:tcPr>
            <w:tcW w:w="1171" w:type="dxa"/>
          </w:tcPr>
          <w:p>
            <w:pPr>
              <w:pStyle w:val="179"/>
              <w:spacing w:line="400" w:lineRule="exact"/>
            </w:pPr>
          </w:p>
        </w:tc>
        <w:tc>
          <w:tcPr>
            <w:tcW w:w="1171" w:type="dxa"/>
          </w:tcPr>
          <w:p>
            <w:pPr>
              <w:pStyle w:val="179"/>
              <w:spacing w:line="400" w:lineRule="exact"/>
            </w:pPr>
            <w:r>
              <w:rPr>
                <w:rFonts w:hint="eastAsia"/>
              </w:rPr>
              <w:t>育苗面积/m</w:t>
            </w:r>
            <w:r>
              <w:rPr>
                <w:rFonts w:hint="eastAsia"/>
                <w:vertAlign w:val="superscript"/>
              </w:rPr>
              <w:t>3</w:t>
            </w:r>
          </w:p>
        </w:tc>
        <w:tc>
          <w:tcPr>
            <w:tcW w:w="1171" w:type="dxa"/>
          </w:tcPr>
          <w:p>
            <w:pPr>
              <w:pStyle w:val="179"/>
              <w:spacing w:line="400" w:lineRule="exact"/>
            </w:pPr>
          </w:p>
        </w:tc>
        <w:tc>
          <w:tcPr>
            <w:tcW w:w="1171" w:type="dxa"/>
          </w:tcPr>
          <w:p>
            <w:pPr>
              <w:pStyle w:val="179"/>
              <w:spacing w:line="400" w:lineRule="exact"/>
            </w:pPr>
            <w:r>
              <w:rPr>
                <w:rFonts w:hint="eastAsia"/>
              </w:rPr>
              <w:t>播种时间</w:t>
            </w: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r>
              <w:rPr>
                <w:rFonts w:hint="eastAsia"/>
              </w:rPr>
              <w:t>出苗时间</w:t>
            </w: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8"/>
          </w:tcPr>
          <w:p>
            <w:pPr>
              <w:pStyle w:val="179"/>
              <w:spacing w:line="400" w:lineRule="exact"/>
              <w:jc w:val="left"/>
            </w:pPr>
            <w:r>
              <w:rPr>
                <w:rFonts w:hint="eastAsia"/>
              </w:rPr>
              <w:t>接穗基本信息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接穗种类</w:t>
            </w:r>
          </w:p>
        </w:tc>
        <w:tc>
          <w:tcPr>
            <w:tcW w:w="1171" w:type="dxa"/>
          </w:tcPr>
          <w:p>
            <w:pPr>
              <w:pStyle w:val="179"/>
              <w:spacing w:line="400" w:lineRule="exact"/>
            </w:pPr>
          </w:p>
        </w:tc>
        <w:tc>
          <w:tcPr>
            <w:tcW w:w="1171" w:type="dxa"/>
          </w:tcPr>
          <w:p>
            <w:pPr>
              <w:pStyle w:val="179"/>
              <w:spacing w:line="400" w:lineRule="exact"/>
            </w:pPr>
            <w:r>
              <w:rPr>
                <w:rFonts w:hint="eastAsia"/>
              </w:rPr>
              <w:t>播种量/kg</w:t>
            </w:r>
          </w:p>
        </w:tc>
        <w:tc>
          <w:tcPr>
            <w:tcW w:w="1171" w:type="dxa"/>
          </w:tcPr>
          <w:p>
            <w:pPr>
              <w:pStyle w:val="179"/>
              <w:spacing w:line="400" w:lineRule="exact"/>
            </w:pPr>
          </w:p>
        </w:tc>
        <w:tc>
          <w:tcPr>
            <w:tcW w:w="1171" w:type="dxa"/>
          </w:tcPr>
          <w:p>
            <w:pPr>
              <w:pStyle w:val="179"/>
              <w:spacing w:line="400" w:lineRule="exact"/>
            </w:pPr>
            <w:r>
              <w:rPr>
                <w:rFonts w:hint="eastAsia"/>
              </w:rPr>
              <w:t>催芽时间</w:t>
            </w: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r>
              <w:rPr>
                <w:rFonts w:hint="eastAsia"/>
              </w:rPr>
              <w:t>出芽时间</w:t>
            </w: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接穗品种</w:t>
            </w:r>
          </w:p>
        </w:tc>
        <w:tc>
          <w:tcPr>
            <w:tcW w:w="1171" w:type="dxa"/>
          </w:tcPr>
          <w:p>
            <w:pPr>
              <w:pStyle w:val="179"/>
              <w:spacing w:line="400" w:lineRule="exact"/>
            </w:pPr>
          </w:p>
        </w:tc>
        <w:tc>
          <w:tcPr>
            <w:tcW w:w="1171" w:type="dxa"/>
          </w:tcPr>
          <w:p>
            <w:pPr>
              <w:pStyle w:val="179"/>
              <w:spacing w:line="400" w:lineRule="exact"/>
            </w:pPr>
            <w:r>
              <w:rPr>
                <w:rFonts w:hint="eastAsia"/>
              </w:rPr>
              <w:t>育苗面积/m</w:t>
            </w:r>
            <w:r>
              <w:rPr>
                <w:rFonts w:hint="eastAsia"/>
                <w:vertAlign w:val="superscript"/>
              </w:rPr>
              <w:t>3</w:t>
            </w:r>
          </w:p>
        </w:tc>
        <w:tc>
          <w:tcPr>
            <w:tcW w:w="1171" w:type="dxa"/>
          </w:tcPr>
          <w:p>
            <w:pPr>
              <w:pStyle w:val="179"/>
              <w:spacing w:line="400" w:lineRule="exact"/>
            </w:pPr>
          </w:p>
        </w:tc>
        <w:tc>
          <w:tcPr>
            <w:tcW w:w="1171" w:type="dxa"/>
          </w:tcPr>
          <w:p>
            <w:pPr>
              <w:pStyle w:val="179"/>
              <w:spacing w:line="400" w:lineRule="exact"/>
            </w:pPr>
            <w:r>
              <w:rPr>
                <w:rFonts w:hint="eastAsia"/>
              </w:rPr>
              <w:t>播种时间</w:t>
            </w: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r>
              <w:rPr>
                <w:rFonts w:hint="eastAsia"/>
              </w:rPr>
              <w:t>出苗时间</w:t>
            </w: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8"/>
          </w:tcPr>
          <w:p>
            <w:pPr>
              <w:pStyle w:val="179"/>
              <w:spacing w:line="400" w:lineRule="exact"/>
              <w:jc w:val="left"/>
            </w:pPr>
            <w:r>
              <w:rPr>
                <w:rFonts w:hint="eastAsia"/>
              </w:rPr>
              <w:t>嫁接操作信息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嫁接时间</w:t>
            </w:r>
          </w:p>
        </w:tc>
        <w:tc>
          <w:tcPr>
            <w:tcW w:w="1171" w:type="dxa"/>
          </w:tcPr>
          <w:p>
            <w:pPr>
              <w:pStyle w:val="179"/>
              <w:spacing w:line="400" w:lineRule="exact"/>
            </w:pPr>
          </w:p>
        </w:tc>
        <w:tc>
          <w:tcPr>
            <w:tcW w:w="1171" w:type="dxa"/>
          </w:tcPr>
          <w:p>
            <w:pPr>
              <w:pStyle w:val="179"/>
              <w:spacing w:line="400" w:lineRule="exact"/>
            </w:pPr>
            <w:r>
              <w:rPr>
                <w:rFonts w:hint="eastAsia"/>
              </w:rPr>
              <w:t>嫁接方法</w:t>
            </w:r>
          </w:p>
        </w:tc>
        <w:tc>
          <w:tcPr>
            <w:tcW w:w="1171" w:type="dxa"/>
          </w:tcPr>
          <w:p>
            <w:pPr>
              <w:pStyle w:val="179"/>
              <w:spacing w:line="400" w:lineRule="exact"/>
            </w:pPr>
          </w:p>
        </w:tc>
        <w:tc>
          <w:tcPr>
            <w:tcW w:w="1171" w:type="dxa"/>
          </w:tcPr>
          <w:p>
            <w:pPr>
              <w:pStyle w:val="179"/>
              <w:spacing w:line="400" w:lineRule="exact"/>
            </w:pPr>
            <w:r>
              <w:rPr>
                <w:rFonts w:hint="eastAsia"/>
              </w:rPr>
              <w:t>嫁接盘数</w:t>
            </w: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r>
              <w:rPr>
                <w:rFonts w:hint="eastAsia"/>
              </w:rPr>
              <w:t>每盘数量</w:t>
            </w: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8"/>
          </w:tcPr>
          <w:p>
            <w:pPr>
              <w:pStyle w:val="179"/>
              <w:spacing w:line="400" w:lineRule="exact"/>
            </w:pPr>
            <w:r>
              <w:rPr>
                <w:rFonts w:hint="eastAsia"/>
              </w:rPr>
              <w:t>农事操作记录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序号</w:t>
            </w:r>
          </w:p>
        </w:tc>
        <w:tc>
          <w:tcPr>
            <w:tcW w:w="1171" w:type="dxa"/>
          </w:tcPr>
          <w:p>
            <w:pPr>
              <w:pStyle w:val="179"/>
              <w:spacing w:line="400" w:lineRule="exact"/>
            </w:pPr>
            <w:r>
              <w:rPr>
                <w:rFonts w:hint="eastAsia"/>
              </w:rPr>
              <w:t>日期</w:t>
            </w:r>
          </w:p>
        </w:tc>
        <w:tc>
          <w:tcPr>
            <w:tcW w:w="1171" w:type="dxa"/>
          </w:tcPr>
          <w:p>
            <w:pPr>
              <w:pStyle w:val="179"/>
              <w:spacing w:line="400" w:lineRule="exact"/>
            </w:pPr>
            <w:r>
              <w:rPr>
                <w:rFonts w:hint="eastAsia"/>
              </w:rPr>
              <w:t>活动内容</w:t>
            </w:r>
          </w:p>
        </w:tc>
        <w:tc>
          <w:tcPr>
            <w:tcW w:w="1171" w:type="dxa"/>
          </w:tcPr>
          <w:p>
            <w:pPr>
              <w:pStyle w:val="179"/>
              <w:spacing w:line="400" w:lineRule="exact"/>
            </w:pPr>
            <w:r>
              <w:rPr>
                <w:rFonts w:hint="eastAsia"/>
              </w:rPr>
              <w:t>投入品种名称</w:t>
            </w:r>
          </w:p>
        </w:tc>
        <w:tc>
          <w:tcPr>
            <w:tcW w:w="1171" w:type="dxa"/>
          </w:tcPr>
          <w:p>
            <w:pPr>
              <w:pStyle w:val="179"/>
              <w:spacing w:line="400" w:lineRule="exact"/>
            </w:pPr>
            <w:r>
              <w:rPr>
                <w:rFonts w:hint="eastAsia"/>
              </w:rPr>
              <w:t>使用量</w:t>
            </w:r>
          </w:p>
        </w:tc>
        <w:tc>
          <w:tcPr>
            <w:tcW w:w="1171" w:type="dxa"/>
            <w:shd w:val="clear" w:color="auto" w:fill="auto"/>
          </w:tcPr>
          <w:p>
            <w:pPr>
              <w:pStyle w:val="179"/>
              <w:spacing w:line="400" w:lineRule="exact"/>
            </w:pPr>
            <w:r>
              <w:rPr>
                <w:rFonts w:hint="eastAsia"/>
              </w:rPr>
              <w:t>使用设备</w:t>
            </w:r>
          </w:p>
        </w:tc>
        <w:tc>
          <w:tcPr>
            <w:tcW w:w="1171" w:type="dxa"/>
            <w:shd w:val="clear" w:color="auto" w:fill="auto"/>
            <w:vAlign w:val="center"/>
          </w:tcPr>
          <w:p>
            <w:pPr>
              <w:pStyle w:val="179"/>
              <w:spacing w:line="400" w:lineRule="exact"/>
            </w:pPr>
            <w:r>
              <w:rPr>
                <w:rFonts w:hint="eastAsia"/>
              </w:rPr>
              <w:t>操作人</w:t>
            </w:r>
          </w:p>
        </w:tc>
        <w:tc>
          <w:tcPr>
            <w:tcW w:w="1175" w:type="dxa"/>
            <w:shd w:val="clear" w:color="auto" w:fill="auto"/>
            <w:vAlign w:val="center"/>
          </w:tcPr>
          <w:p>
            <w:pPr>
              <w:pStyle w:val="179"/>
              <w:spacing w:line="400" w:lineRule="exact"/>
            </w:pPr>
            <w:r>
              <w:rPr>
                <w:rFonts w:hint="eastAsia"/>
              </w:rPr>
              <w:t>技术负责人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1</w:t>
            </w: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2</w:t>
            </w: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rPr>
              <w:t>3</w:t>
            </w: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p>
        </w:tc>
        <w:tc>
          <w:tcPr>
            <w:tcW w:w="1175"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73" w:type="dxa"/>
          </w:tcPr>
          <w:p>
            <w:pPr>
              <w:pStyle w:val="179"/>
              <w:spacing w:line="400" w:lineRule="exact"/>
            </w:pPr>
            <w:r>
              <w:rPr>
                <w:rFonts w:hint="eastAsia" w:hAnsi="宋体"/>
              </w:rPr>
              <w:t>…</w:t>
            </w: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tcPr>
          <w:p>
            <w:pPr>
              <w:pStyle w:val="179"/>
              <w:spacing w:line="400" w:lineRule="exact"/>
            </w:pPr>
          </w:p>
        </w:tc>
        <w:tc>
          <w:tcPr>
            <w:tcW w:w="1171" w:type="dxa"/>
            <w:shd w:val="clear" w:color="auto" w:fill="auto"/>
            <w:vAlign w:val="center"/>
          </w:tcPr>
          <w:p>
            <w:pPr>
              <w:pStyle w:val="179"/>
              <w:spacing w:line="400" w:lineRule="exact"/>
            </w:pPr>
          </w:p>
        </w:tc>
        <w:tc>
          <w:tcPr>
            <w:tcW w:w="1171" w:type="dxa"/>
            <w:shd w:val="clear" w:color="auto" w:fill="auto"/>
            <w:vAlign w:val="center"/>
          </w:tcPr>
          <w:p>
            <w:pPr>
              <w:pStyle w:val="179"/>
              <w:spacing w:line="400" w:lineRule="exact"/>
            </w:pPr>
          </w:p>
        </w:tc>
        <w:tc>
          <w:tcPr>
            <w:tcW w:w="1175" w:type="dxa"/>
            <w:shd w:val="clear" w:color="auto" w:fill="auto"/>
            <w:vAlign w:val="center"/>
          </w:tcPr>
          <w:p>
            <w:pPr>
              <w:pStyle w:val="179"/>
              <w:spacing w:line="400" w:lineRule="exact"/>
            </w:pPr>
          </w:p>
        </w:tc>
      </w:tr>
    </w:tbl>
    <w:p>
      <w:pPr>
        <w:pStyle w:val="57"/>
        <w:ind w:firstLine="420"/>
      </w:pPr>
      <w:r>
        <w:rPr>
          <w:rFonts w:hint="eastAsia"/>
        </w:rPr>
        <w:t>制表人：                     制表日期：</w:t>
      </w:r>
    </w:p>
    <w:p>
      <w:pPr>
        <w:pStyle w:val="212"/>
      </w:pPr>
      <w:r>
        <w:rPr>
          <w:rFonts w:hint="eastAsia"/>
        </w:rPr>
        <w:t>育苗环境记录表见A.2。</w:t>
      </w:r>
    </w:p>
    <w:p>
      <w:pPr>
        <w:pStyle w:val="78"/>
        <w:spacing w:before="120" w:after="120"/>
      </w:pPr>
      <w:r>
        <w:rPr>
          <w:rFonts w:hint="eastAsia"/>
        </w:rPr>
        <w:t>育苗环境记录表</w:t>
      </w:r>
    </w:p>
    <w:p>
      <w:r>
        <w:rPr>
          <w:rFonts w:hint="eastAsia" w:ascii="宋体" w:hAnsi="宋体"/>
        </w:rPr>
        <w:t>工厂名称：             车间编号：             车间负责人：          电话：</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44"/>
        <w:gridCol w:w="1040"/>
        <w:gridCol w:w="1041"/>
        <w:gridCol w:w="1041"/>
        <w:gridCol w:w="1041"/>
        <w:gridCol w:w="1041"/>
        <w:gridCol w:w="1041"/>
        <w:gridCol w:w="1041"/>
        <w:gridCol w:w="10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44" w:type="dxa"/>
            <w:vMerge w:val="restart"/>
            <w:tcBorders>
              <w:top w:val="single" w:color="auto" w:sz="8" w:space="0"/>
            </w:tcBorders>
            <w:vAlign w:val="center"/>
          </w:tcPr>
          <w:p>
            <w:pPr>
              <w:pStyle w:val="179"/>
              <w:spacing w:line="400" w:lineRule="exact"/>
            </w:pPr>
            <w:r>
              <w:rPr>
                <w:rFonts w:hint="eastAsia"/>
              </w:rPr>
              <w:t>日期</w:t>
            </w:r>
          </w:p>
        </w:tc>
        <w:tc>
          <w:tcPr>
            <w:tcW w:w="4163" w:type="dxa"/>
            <w:gridSpan w:val="4"/>
            <w:tcBorders>
              <w:top w:val="single" w:color="auto" w:sz="8" w:space="0"/>
              <w:bottom w:val="single" w:color="auto" w:sz="8" w:space="0"/>
            </w:tcBorders>
            <w:shd w:val="clear" w:color="auto" w:fill="auto"/>
            <w:vAlign w:val="center"/>
          </w:tcPr>
          <w:p>
            <w:pPr>
              <w:pStyle w:val="179"/>
              <w:spacing w:line="400" w:lineRule="exact"/>
            </w:pPr>
            <w:r>
              <w:rPr>
                <w:rFonts w:hint="eastAsia"/>
              </w:rPr>
              <w:t>温度/</w:t>
            </w:r>
            <w:r>
              <w:rPr>
                <w:rFonts w:hint="eastAsia" w:hAnsi="宋体"/>
              </w:rPr>
              <w:t>℃</w:t>
            </w:r>
          </w:p>
        </w:tc>
        <w:tc>
          <w:tcPr>
            <w:tcW w:w="2082" w:type="dxa"/>
            <w:gridSpan w:val="2"/>
            <w:tcBorders>
              <w:top w:val="single" w:color="auto" w:sz="8" w:space="0"/>
              <w:bottom w:val="single" w:color="auto" w:sz="8" w:space="0"/>
            </w:tcBorders>
          </w:tcPr>
          <w:p>
            <w:pPr>
              <w:pStyle w:val="179"/>
              <w:spacing w:line="400" w:lineRule="exact"/>
            </w:pPr>
            <w:r>
              <w:rPr>
                <w:rFonts w:hint="eastAsia"/>
              </w:rPr>
              <w:t>湿度/</w:t>
            </w:r>
            <w:r>
              <w:rPr>
                <w:rFonts w:hint="eastAsia" w:hAnsi="宋体"/>
              </w:rPr>
              <w:t>％</w:t>
            </w:r>
          </w:p>
        </w:tc>
        <w:tc>
          <w:tcPr>
            <w:tcW w:w="1041" w:type="dxa"/>
            <w:vMerge w:val="restart"/>
            <w:tcBorders>
              <w:top w:val="single" w:color="auto" w:sz="8" w:space="0"/>
            </w:tcBorders>
          </w:tcPr>
          <w:p>
            <w:pPr>
              <w:pStyle w:val="179"/>
              <w:spacing w:line="400" w:lineRule="exact"/>
            </w:pPr>
            <w:r>
              <w:rPr>
                <w:rFonts w:hint="eastAsia"/>
              </w:rPr>
              <w:t>光照（强、中、弱）</w:t>
            </w:r>
          </w:p>
        </w:tc>
        <w:tc>
          <w:tcPr>
            <w:tcW w:w="1044" w:type="dxa"/>
            <w:vMerge w:val="restart"/>
            <w:tcBorders>
              <w:top w:val="single" w:color="auto" w:sz="8" w:space="0"/>
            </w:tcBorders>
            <w:shd w:val="clear" w:color="auto" w:fill="auto"/>
            <w:vAlign w:val="center"/>
          </w:tcPr>
          <w:p>
            <w:pPr>
              <w:pStyle w:val="179"/>
              <w:spacing w:line="400" w:lineRule="exact"/>
            </w:pPr>
            <w:r>
              <w:rPr>
                <w:rFonts w:hint="eastAsia"/>
              </w:rPr>
              <w:t>天气情况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tcPr>
          <w:p>
            <w:pPr>
              <w:pStyle w:val="179"/>
              <w:spacing w:line="400" w:lineRule="exact"/>
            </w:pPr>
          </w:p>
        </w:tc>
        <w:tc>
          <w:tcPr>
            <w:tcW w:w="3122" w:type="dxa"/>
            <w:gridSpan w:val="3"/>
            <w:tcBorders>
              <w:top w:val="single" w:color="auto" w:sz="8" w:space="0"/>
            </w:tcBorders>
            <w:shd w:val="clear" w:color="auto" w:fill="auto"/>
            <w:vAlign w:val="center"/>
          </w:tcPr>
          <w:p>
            <w:pPr>
              <w:pStyle w:val="179"/>
              <w:spacing w:line="400" w:lineRule="exact"/>
            </w:pPr>
            <w:r>
              <w:rPr>
                <w:rFonts w:hint="eastAsia"/>
              </w:rPr>
              <w:t>空气</w:t>
            </w:r>
          </w:p>
        </w:tc>
        <w:tc>
          <w:tcPr>
            <w:tcW w:w="1041" w:type="dxa"/>
            <w:tcBorders>
              <w:top w:val="single" w:color="auto" w:sz="8" w:space="0"/>
            </w:tcBorders>
          </w:tcPr>
          <w:p>
            <w:pPr>
              <w:pStyle w:val="179"/>
              <w:spacing w:line="400" w:lineRule="exact"/>
            </w:pPr>
            <w:r>
              <w:rPr>
                <w:rFonts w:hint="eastAsia"/>
              </w:rPr>
              <w:t>基质</w:t>
            </w:r>
          </w:p>
        </w:tc>
        <w:tc>
          <w:tcPr>
            <w:tcW w:w="1041" w:type="dxa"/>
            <w:tcBorders>
              <w:top w:val="single" w:color="auto" w:sz="8" w:space="0"/>
            </w:tcBorders>
          </w:tcPr>
          <w:p>
            <w:pPr>
              <w:pStyle w:val="179"/>
              <w:spacing w:line="400" w:lineRule="exact"/>
            </w:pPr>
            <w:r>
              <w:rPr>
                <w:rFonts w:hint="eastAsia"/>
              </w:rPr>
              <w:t>空气</w:t>
            </w:r>
          </w:p>
        </w:tc>
        <w:tc>
          <w:tcPr>
            <w:tcW w:w="1041" w:type="dxa"/>
            <w:tcBorders>
              <w:top w:val="single" w:color="auto" w:sz="8" w:space="0"/>
            </w:tcBorders>
          </w:tcPr>
          <w:p>
            <w:pPr>
              <w:pStyle w:val="179"/>
              <w:spacing w:line="400" w:lineRule="exact"/>
            </w:pPr>
            <w:r>
              <w:rPr>
                <w:rFonts w:hint="eastAsia"/>
              </w:rPr>
              <w:t>基质</w:t>
            </w:r>
          </w:p>
        </w:tc>
        <w:tc>
          <w:tcPr>
            <w:tcW w:w="1041" w:type="dxa"/>
            <w:vMerge w:val="continue"/>
          </w:tcPr>
          <w:p>
            <w:pPr>
              <w:pStyle w:val="179"/>
              <w:spacing w:line="400" w:lineRule="exact"/>
            </w:pPr>
          </w:p>
        </w:tc>
        <w:tc>
          <w:tcPr>
            <w:tcW w:w="1044" w:type="dxa"/>
            <w:vMerge w:val="continue"/>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vMerge w:val="continue"/>
          </w:tcPr>
          <w:p>
            <w:pPr>
              <w:pStyle w:val="179"/>
              <w:spacing w:line="400" w:lineRule="exact"/>
            </w:pPr>
          </w:p>
        </w:tc>
        <w:tc>
          <w:tcPr>
            <w:tcW w:w="1040" w:type="dxa"/>
            <w:shd w:val="clear" w:color="auto" w:fill="auto"/>
            <w:vAlign w:val="center"/>
          </w:tcPr>
          <w:p>
            <w:pPr>
              <w:pStyle w:val="179"/>
              <w:spacing w:line="400" w:lineRule="exact"/>
            </w:pPr>
            <w:r>
              <w:rPr>
                <w:rFonts w:hint="eastAsia"/>
              </w:rPr>
              <w:t>8:00</w:t>
            </w:r>
          </w:p>
        </w:tc>
        <w:tc>
          <w:tcPr>
            <w:tcW w:w="1041" w:type="dxa"/>
            <w:shd w:val="clear" w:color="auto" w:fill="auto"/>
            <w:vAlign w:val="center"/>
          </w:tcPr>
          <w:p>
            <w:pPr>
              <w:pStyle w:val="179"/>
              <w:spacing w:line="400" w:lineRule="exact"/>
            </w:pPr>
            <w:r>
              <w:rPr>
                <w:rFonts w:hint="eastAsia"/>
              </w:rPr>
              <w:t>13:00</w:t>
            </w:r>
          </w:p>
        </w:tc>
        <w:tc>
          <w:tcPr>
            <w:tcW w:w="1041" w:type="dxa"/>
          </w:tcPr>
          <w:p>
            <w:pPr>
              <w:pStyle w:val="179"/>
              <w:spacing w:line="400" w:lineRule="exact"/>
            </w:pPr>
            <w:r>
              <w:rPr>
                <w:rFonts w:hint="eastAsia"/>
              </w:rPr>
              <w:t>18:00</w:t>
            </w:r>
          </w:p>
        </w:tc>
        <w:tc>
          <w:tcPr>
            <w:tcW w:w="1041" w:type="dxa"/>
          </w:tcPr>
          <w:p>
            <w:pPr>
              <w:pStyle w:val="179"/>
              <w:spacing w:line="400" w:lineRule="exact"/>
            </w:pPr>
            <w:r>
              <w:rPr>
                <w:rFonts w:hint="eastAsia"/>
              </w:rPr>
              <w:t>8:00</w:t>
            </w: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4"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tcPr>
          <w:p>
            <w:pPr>
              <w:pStyle w:val="179"/>
              <w:spacing w:line="400" w:lineRule="exact"/>
            </w:pPr>
          </w:p>
        </w:tc>
        <w:tc>
          <w:tcPr>
            <w:tcW w:w="1040" w:type="dxa"/>
            <w:shd w:val="clear" w:color="auto" w:fill="auto"/>
            <w:vAlign w:val="center"/>
          </w:tcPr>
          <w:p>
            <w:pPr>
              <w:pStyle w:val="179"/>
              <w:spacing w:line="400" w:lineRule="exact"/>
            </w:pPr>
          </w:p>
        </w:tc>
        <w:tc>
          <w:tcPr>
            <w:tcW w:w="1041" w:type="dxa"/>
            <w:shd w:val="clear" w:color="auto" w:fill="auto"/>
            <w:vAlign w:val="center"/>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4"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tcPr>
          <w:p>
            <w:pPr>
              <w:pStyle w:val="179"/>
              <w:spacing w:line="400" w:lineRule="exact"/>
            </w:pPr>
          </w:p>
        </w:tc>
        <w:tc>
          <w:tcPr>
            <w:tcW w:w="1040" w:type="dxa"/>
            <w:shd w:val="clear" w:color="auto" w:fill="auto"/>
            <w:vAlign w:val="center"/>
          </w:tcPr>
          <w:p>
            <w:pPr>
              <w:pStyle w:val="179"/>
              <w:spacing w:line="400" w:lineRule="exact"/>
            </w:pPr>
          </w:p>
        </w:tc>
        <w:tc>
          <w:tcPr>
            <w:tcW w:w="1041" w:type="dxa"/>
            <w:shd w:val="clear" w:color="auto" w:fill="auto"/>
            <w:vAlign w:val="center"/>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4"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tcPr>
          <w:p>
            <w:pPr>
              <w:pStyle w:val="179"/>
              <w:spacing w:line="400" w:lineRule="exact"/>
            </w:pPr>
          </w:p>
        </w:tc>
        <w:tc>
          <w:tcPr>
            <w:tcW w:w="1040" w:type="dxa"/>
            <w:shd w:val="clear" w:color="auto" w:fill="auto"/>
            <w:vAlign w:val="center"/>
          </w:tcPr>
          <w:p>
            <w:pPr>
              <w:pStyle w:val="179"/>
              <w:spacing w:line="400" w:lineRule="exact"/>
            </w:pPr>
          </w:p>
        </w:tc>
        <w:tc>
          <w:tcPr>
            <w:tcW w:w="1041" w:type="dxa"/>
            <w:shd w:val="clear" w:color="auto" w:fill="auto"/>
            <w:vAlign w:val="center"/>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4" w:type="dxa"/>
            <w:shd w:val="clear" w:color="auto" w:fill="auto"/>
            <w:vAlign w:val="center"/>
          </w:tcPr>
          <w:p>
            <w:pPr>
              <w:pStyle w:val="179"/>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44" w:type="dxa"/>
          </w:tcPr>
          <w:p>
            <w:pPr>
              <w:pStyle w:val="179"/>
              <w:spacing w:line="400" w:lineRule="exact"/>
            </w:pPr>
          </w:p>
        </w:tc>
        <w:tc>
          <w:tcPr>
            <w:tcW w:w="1040" w:type="dxa"/>
            <w:shd w:val="clear" w:color="auto" w:fill="auto"/>
            <w:vAlign w:val="center"/>
          </w:tcPr>
          <w:p>
            <w:pPr>
              <w:pStyle w:val="179"/>
              <w:spacing w:line="400" w:lineRule="exact"/>
            </w:pPr>
          </w:p>
        </w:tc>
        <w:tc>
          <w:tcPr>
            <w:tcW w:w="1041" w:type="dxa"/>
            <w:shd w:val="clear" w:color="auto" w:fill="auto"/>
            <w:vAlign w:val="center"/>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1" w:type="dxa"/>
          </w:tcPr>
          <w:p>
            <w:pPr>
              <w:pStyle w:val="179"/>
              <w:spacing w:line="400" w:lineRule="exact"/>
            </w:pPr>
          </w:p>
        </w:tc>
        <w:tc>
          <w:tcPr>
            <w:tcW w:w="1044" w:type="dxa"/>
            <w:shd w:val="clear" w:color="auto" w:fill="auto"/>
            <w:vAlign w:val="center"/>
          </w:tcPr>
          <w:p>
            <w:pPr>
              <w:pStyle w:val="179"/>
              <w:spacing w:line="400" w:lineRule="exact"/>
            </w:pPr>
          </w:p>
        </w:tc>
      </w:tr>
    </w:tbl>
    <w:p>
      <w:pPr>
        <w:pStyle w:val="57"/>
        <w:ind w:firstLine="420"/>
      </w:pPr>
      <w:r>
        <w:rPr>
          <w:rFonts w:hint="eastAsia"/>
        </w:rPr>
        <w:t>制表人：                     制表日期：</w:t>
      </w:r>
    </w:p>
    <w:bookmarkEnd w:id="39"/>
    <w:p>
      <w:pPr>
        <w:pStyle w:val="212"/>
        <w:numPr>
          <w:ilvl w:val="0"/>
          <w:numId w:val="0"/>
        </w:numPr>
        <w:jc w:val="center"/>
      </w:pPr>
      <w:bookmarkStart w:id="40"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stretch>
                      <a:fillRect/>
                    </a:stretch>
                  </pic:blipFill>
                  <pic:spPr>
                    <a:xfrm>
                      <a:off x="0" y="0"/>
                      <a:ext cx="1485900" cy="317500"/>
                    </a:xfrm>
                    <a:prstGeom prst="rect">
                      <a:avLst/>
                    </a:prstGeom>
                  </pic:spPr>
                </pic:pic>
              </a:graphicData>
            </a:graphic>
          </wp:inline>
        </w:drawing>
      </w:r>
      <w:bookmarkEnd w:id="40"/>
    </w:p>
    <w:sectPr>
      <w:headerReference r:id="rId19" w:type="default"/>
      <w:footerReference r:id="rId21" w:type="default"/>
      <w:headerReference r:id="rId20" w:type="even"/>
      <w:footerReference r:id="rId22"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Full" w:cryptAlgorithmClass="hash" w:cryptAlgorithmType="typeAny" w:cryptAlgorithmSid="4" w:cryptSpinCount="50000" w:hash="rnFAJX61Bm6dPztHI528J/mznaA=" w:salt="h34+ZLRpnE2CRx5wqGU2y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75F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BC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8D2"/>
    <w:rsid w:val="00083D2C"/>
    <w:rsid w:val="00086AA1"/>
    <w:rsid w:val="00087A77"/>
    <w:rsid w:val="00090CA6"/>
    <w:rsid w:val="00092B8A"/>
    <w:rsid w:val="00092FB0"/>
    <w:rsid w:val="000934C5"/>
    <w:rsid w:val="00093D25"/>
    <w:rsid w:val="00093DAB"/>
    <w:rsid w:val="00094D73"/>
    <w:rsid w:val="000953B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180"/>
    <w:rsid w:val="000D753B"/>
    <w:rsid w:val="000E4C9E"/>
    <w:rsid w:val="000E6FD7"/>
    <w:rsid w:val="000F06E1"/>
    <w:rsid w:val="000F0E3C"/>
    <w:rsid w:val="000F19D5"/>
    <w:rsid w:val="000F4050"/>
    <w:rsid w:val="000F4AEA"/>
    <w:rsid w:val="000F67E9"/>
    <w:rsid w:val="0010011C"/>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D9C"/>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BB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4A9"/>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303"/>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AE0"/>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F3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4BAB"/>
    <w:rsid w:val="003F6272"/>
    <w:rsid w:val="00400E72"/>
    <w:rsid w:val="00401400"/>
    <w:rsid w:val="00404869"/>
    <w:rsid w:val="00405884"/>
    <w:rsid w:val="00407D39"/>
    <w:rsid w:val="0041477A"/>
    <w:rsid w:val="004167A3"/>
    <w:rsid w:val="004206FD"/>
    <w:rsid w:val="00432DAA"/>
    <w:rsid w:val="00434305"/>
    <w:rsid w:val="004350C4"/>
    <w:rsid w:val="00435DF7"/>
    <w:rsid w:val="00437590"/>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4B2"/>
    <w:rsid w:val="004E4AA5"/>
    <w:rsid w:val="004E4AEE"/>
    <w:rsid w:val="004E59E3"/>
    <w:rsid w:val="004E67C0"/>
    <w:rsid w:val="004E6DF9"/>
    <w:rsid w:val="004F391A"/>
    <w:rsid w:val="004F3CFB"/>
    <w:rsid w:val="004F4D44"/>
    <w:rsid w:val="004F6456"/>
    <w:rsid w:val="004F696E"/>
    <w:rsid w:val="004F6C71"/>
    <w:rsid w:val="00501139"/>
    <w:rsid w:val="0050363E"/>
    <w:rsid w:val="005039BC"/>
    <w:rsid w:val="005043BB"/>
    <w:rsid w:val="00504A3D"/>
    <w:rsid w:val="00505767"/>
    <w:rsid w:val="005073F0"/>
    <w:rsid w:val="00510A7B"/>
    <w:rsid w:val="00511F91"/>
    <w:rsid w:val="00512F6E"/>
    <w:rsid w:val="00513038"/>
    <w:rsid w:val="00514174"/>
    <w:rsid w:val="00516088"/>
    <w:rsid w:val="00516B0B"/>
    <w:rsid w:val="005220EC"/>
    <w:rsid w:val="00523F95"/>
    <w:rsid w:val="00524D65"/>
    <w:rsid w:val="00525B16"/>
    <w:rsid w:val="00526323"/>
    <w:rsid w:val="00533D04"/>
    <w:rsid w:val="00534804"/>
    <w:rsid w:val="00534BDF"/>
    <w:rsid w:val="005351FC"/>
    <w:rsid w:val="005354EA"/>
    <w:rsid w:val="0053585F"/>
    <w:rsid w:val="00535EC4"/>
    <w:rsid w:val="00535ED9"/>
    <w:rsid w:val="0053692B"/>
    <w:rsid w:val="00541853"/>
    <w:rsid w:val="00543BDA"/>
    <w:rsid w:val="005441CC"/>
    <w:rsid w:val="00547710"/>
    <w:rsid w:val="005479DA"/>
    <w:rsid w:val="00547BCC"/>
    <w:rsid w:val="0055013B"/>
    <w:rsid w:val="00551F6F"/>
    <w:rsid w:val="00555044"/>
    <w:rsid w:val="0055735E"/>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AE5"/>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EA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6F4B"/>
    <w:rsid w:val="007002C5"/>
    <w:rsid w:val="00704387"/>
    <w:rsid w:val="00707669"/>
    <w:rsid w:val="00711CBA"/>
    <w:rsid w:val="00711FB5"/>
    <w:rsid w:val="00712A01"/>
    <w:rsid w:val="00714F58"/>
    <w:rsid w:val="00721185"/>
    <w:rsid w:val="00722FBF"/>
    <w:rsid w:val="00722FC2"/>
    <w:rsid w:val="00724E1B"/>
    <w:rsid w:val="00725949"/>
    <w:rsid w:val="00727FA2"/>
    <w:rsid w:val="007322D9"/>
    <w:rsid w:val="00732BC0"/>
    <w:rsid w:val="0073478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91"/>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489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EB6"/>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145"/>
    <w:rsid w:val="009062E6"/>
    <w:rsid w:val="00911BE5"/>
    <w:rsid w:val="00913CA9"/>
    <w:rsid w:val="009145AE"/>
    <w:rsid w:val="009146CE"/>
    <w:rsid w:val="00914CA7"/>
    <w:rsid w:val="00915C3E"/>
    <w:rsid w:val="009161A8"/>
    <w:rsid w:val="00917571"/>
    <w:rsid w:val="009245AE"/>
    <w:rsid w:val="009245F5"/>
    <w:rsid w:val="009249EC"/>
    <w:rsid w:val="009273B3"/>
    <w:rsid w:val="009305B5"/>
    <w:rsid w:val="009378DD"/>
    <w:rsid w:val="009429D5"/>
    <w:rsid w:val="00942BF1"/>
    <w:rsid w:val="00945180"/>
    <w:rsid w:val="00945428"/>
    <w:rsid w:val="0094607B"/>
    <w:rsid w:val="00953604"/>
    <w:rsid w:val="009539D2"/>
    <w:rsid w:val="0095496B"/>
    <w:rsid w:val="00960F1E"/>
    <w:rsid w:val="009610DC"/>
    <w:rsid w:val="00961490"/>
    <w:rsid w:val="0096381A"/>
    <w:rsid w:val="00965E04"/>
    <w:rsid w:val="009674AD"/>
    <w:rsid w:val="00970A9B"/>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90E"/>
    <w:rsid w:val="009E4A58"/>
    <w:rsid w:val="009E5A2D"/>
    <w:rsid w:val="009E5AB2"/>
    <w:rsid w:val="009E6219"/>
    <w:rsid w:val="009F03B3"/>
    <w:rsid w:val="00A0096C"/>
    <w:rsid w:val="00A01757"/>
    <w:rsid w:val="00A028C0"/>
    <w:rsid w:val="00A02BAE"/>
    <w:rsid w:val="00A061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2E7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2B61"/>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6F6"/>
    <w:rsid w:val="00C44BF5"/>
    <w:rsid w:val="00C521D6"/>
    <w:rsid w:val="00C55232"/>
    <w:rsid w:val="00C553A4"/>
    <w:rsid w:val="00C55A06"/>
    <w:rsid w:val="00C55D03"/>
    <w:rsid w:val="00C56728"/>
    <w:rsid w:val="00C601BC"/>
    <w:rsid w:val="00C6329F"/>
    <w:rsid w:val="00C63340"/>
    <w:rsid w:val="00C643F9"/>
    <w:rsid w:val="00C64E95"/>
    <w:rsid w:val="00C67197"/>
    <w:rsid w:val="00C71372"/>
    <w:rsid w:val="00C72410"/>
    <w:rsid w:val="00C7287F"/>
    <w:rsid w:val="00C74112"/>
    <w:rsid w:val="00C80CB8"/>
    <w:rsid w:val="00C819F8"/>
    <w:rsid w:val="00C8248C"/>
    <w:rsid w:val="00C84E33"/>
    <w:rsid w:val="00C8590B"/>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6ADE"/>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E95"/>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04B"/>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344"/>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128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DD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666"/>
    <w:rsid w:val="00FD00E6"/>
    <w:rsid w:val="00FD09A1"/>
    <w:rsid w:val="00FD2A7C"/>
    <w:rsid w:val="00FD59EB"/>
    <w:rsid w:val="00FD7299"/>
    <w:rsid w:val="00FD77C1"/>
    <w:rsid w:val="00FE1FBE"/>
    <w:rsid w:val="00FE3901"/>
    <w:rsid w:val="00FE39D3"/>
    <w:rsid w:val="00FE4BCE"/>
    <w:rsid w:val="00FE54AE"/>
    <w:rsid w:val="00FE576A"/>
    <w:rsid w:val="00FE7E79"/>
    <w:rsid w:val="00FF3E7D"/>
    <w:rsid w:val="00FF5B99"/>
    <w:rsid w:val="00FF730C"/>
    <w:rsid w:val="00FF73F4"/>
    <w:rsid w:val="00FF7CE4"/>
    <w:rsid w:val="00FF7E39"/>
    <w:rsid w:val="4C7A41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uiPriority w:val="0"/>
    <w:rPr>
      <w:rFonts w:ascii="Times New Roman" w:hAnsi="Times New Roman" w:eastAsia="宋体" w:cs="Times New Roman"/>
      <w:b/>
      <w:bCs/>
      <w:kern w:val="44"/>
      <w:sz w:val="44"/>
      <w:szCs w:val="44"/>
    </w:rPr>
  </w:style>
  <w:style w:type="character" w:customStyle="1" w:styleId="36">
    <w:name w:val="标题 2 Char"/>
    <w:link w:val="3"/>
    <w:uiPriority w:val="0"/>
    <w:rPr>
      <w:rFonts w:ascii="Arial" w:hAnsi="Arial" w:eastAsia="黑体" w:cs="Times New Roman"/>
      <w:b/>
      <w:bCs/>
      <w:sz w:val="32"/>
      <w:szCs w:val="32"/>
    </w:rPr>
  </w:style>
  <w:style w:type="character" w:customStyle="1" w:styleId="37">
    <w:name w:val="标题 3 Char"/>
    <w:link w:val="4"/>
    <w:uiPriority w:val="0"/>
    <w:rPr>
      <w:rFonts w:ascii="Times New Roman" w:hAnsi="Times New Roman" w:eastAsia="宋体" w:cs="Times New Roman"/>
      <w:b/>
      <w:bCs/>
      <w:sz w:val="32"/>
      <w:szCs w:val="32"/>
    </w:rPr>
  </w:style>
  <w:style w:type="character" w:customStyle="1" w:styleId="38">
    <w:name w:val="标题 4 Char"/>
    <w:link w:val="5"/>
    <w:uiPriority w:val="0"/>
    <w:rPr>
      <w:rFonts w:ascii="Arial" w:hAnsi="Arial" w:eastAsia="黑体" w:cs="Times New Roman"/>
      <w:b/>
      <w:bCs/>
      <w:sz w:val="28"/>
      <w:szCs w:val="28"/>
    </w:rPr>
  </w:style>
  <w:style w:type="character" w:customStyle="1" w:styleId="39">
    <w:name w:val="标题 5 Char"/>
    <w:link w:val="6"/>
    <w:uiPriority w:val="0"/>
    <w:rPr>
      <w:rFonts w:ascii="Times New Roman" w:hAnsi="Times New Roman" w:eastAsia="宋体" w:cs="Times New Roman"/>
      <w:b/>
      <w:bCs/>
      <w:sz w:val="28"/>
      <w:szCs w:val="28"/>
    </w:rPr>
  </w:style>
  <w:style w:type="character" w:customStyle="1" w:styleId="40">
    <w:name w:val="标题 6 Char"/>
    <w:link w:val="7"/>
    <w:uiPriority w:val="0"/>
    <w:rPr>
      <w:rFonts w:ascii="Arial" w:hAnsi="Arial" w:eastAsia="黑体" w:cs="Times New Roman"/>
      <w:b/>
      <w:bCs/>
      <w:sz w:val="24"/>
      <w:szCs w:val="24"/>
    </w:rPr>
  </w:style>
  <w:style w:type="character" w:customStyle="1" w:styleId="41">
    <w:name w:val="标题 7 Char"/>
    <w:link w:val="8"/>
    <w:uiPriority w:val="0"/>
    <w:rPr>
      <w:rFonts w:ascii="Times New Roman" w:hAnsi="Times New Roman" w:eastAsia="宋体" w:cs="Times New Roman"/>
      <w:b/>
      <w:bCs/>
      <w:sz w:val="24"/>
      <w:szCs w:val="24"/>
    </w:rPr>
  </w:style>
  <w:style w:type="character" w:customStyle="1" w:styleId="42">
    <w:name w:val="标题 8 Char"/>
    <w:link w:val="9"/>
    <w:uiPriority w:val="0"/>
    <w:rPr>
      <w:rFonts w:ascii="Arial" w:hAnsi="Arial" w:eastAsia="黑体" w:cs="Times New Roman"/>
      <w:sz w:val="24"/>
      <w:szCs w:val="24"/>
    </w:rPr>
  </w:style>
  <w:style w:type="character" w:customStyle="1" w:styleId="43">
    <w:name w:val="标题 9 Char"/>
    <w:link w:val="10"/>
    <w:uiPriority w:val="0"/>
    <w:rPr>
      <w:rFonts w:ascii="Arial" w:hAnsi="Arial" w:eastAsia="黑体" w:cs="Times New Roman"/>
      <w:szCs w:val="21"/>
    </w:rPr>
  </w:style>
  <w:style w:type="character" w:customStyle="1" w:styleId="44">
    <w:name w:val="页眉 Char"/>
    <w:link w:val="19"/>
    <w:uiPriority w:val="99"/>
    <w:rPr>
      <w:rFonts w:ascii="Times New Roman" w:hAnsi="Times New Roman" w:eastAsia="宋体" w:cs="Times New Roman"/>
      <w:sz w:val="18"/>
      <w:szCs w:val="18"/>
    </w:rPr>
  </w:style>
  <w:style w:type="character" w:customStyle="1" w:styleId="45">
    <w:name w:val="页脚 Char"/>
    <w:link w:val="18"/>
    <w:uiPriority w:val="99"/>
    <w:rPr>
      <w:rFonts w:ascii="宋体" w:hAnsi="Times New Roman" w:eastAsia="宋体" w:cs="Times New Roman"/>
      <w:sz w:val="18"/>
      <w:szCs w:val="18"/>
    </w:rPr>
  </w:style>
  <w:style w:type="character" w:customStyle="1" w:styleId="46">
    <w:name w:val="批注框文本 Char"/>
    <w:link w:val="17"/>
    <w:semiHidden/>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uiPriority w:val="29"/>
    <w:rPr>
      <w:i/>
      <w:iCs/>
      <w:color w:val="000000"/>
    </w:rPr>
  </w:style>
  <w:style w:type="character" w:customStyle="1" w:styleId="49">
    <w:name w:val="标题 Char"/>
    <w:link w:val="26"/>
    <w:uiPriority w:val="0"/>
    <w:rPr>
      <w:rFonts w:ascii="Arial" w:hAnsi="Arial" w:eastAsia="宋体" w:cs="Arial"/>
      <w:b/>
      <w:bCs/>
      <w:sz w:val="32"/>
      <w:szCs w:val="32"/>
    </w:rPr>
  </w:style>
  <w:style w:type="paragraph" w:customStyle="1" w:styleId="50">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uiPriority w:val="0"/>
    <w:pPr>
      <w:ind w:left="198"/>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 w:type="paragraph" w:customStyle="1" w:styleId="232">
    <w:name w:val="段"/>
    <w:basedOn w:val="1"/>
    <w:uiPriority w:val="0"/>
    <w:pPr>
      <w:widowControl/>
      <w:autoSpaceDE w:val="0"/>
      <w:autoSpaceDN w:val="0"/>
      <w:adjustRightInd/>
      <w:spacing w:line="240" w:lineRule="auto"/>
      <w:ind w:firstLine="420" w:firstLineChars="200"/>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9AC25DD643E41AE81BCE37B46CADE92"/>
        <w:style w:val=""/>
        <w:category>
          <w:name w:val="常规"/>
          <w:gallery w:val="placeholder"/>
        </w:category>
        <w:types>
          <w:type w:val="bbPlcHdr"/>
        </w:types>
        <w:behaviors>
          <w:behavior w:val="content"/>
        </w:behaviors>
        <w:description w:val=""/>
        <w:guid w:val="{7C381FED-1CA7-49DA-A376-0EC438C85BFD}"/>
      </w:docPartPr>
      <w:docPartBody>
        <w:p>
          <w:pPr>
            <w:pStyle w:val="5"/>
          </w:pPr>
          <w:r>
            <w:rPr>
              <w:rStyle w:val="4"/>
              <w:rFonts w:hint="eastAsia"/>
            </w:rPr>
            <w:t>单击或点击此处输入文字。</w:t>
          </w:r>
        </w:p>
      </w:docPartBody>
    </w:docPart>
    <w:docPart>
      <w:docPartPr>
        <w:name w:val="542669874C4C43238C0F59477C570847"/>
        <w:style w:val=""/>
        <w:category>
          <w:name w:val="常规"/>
          <w:gallery w:val="placeholder"/>
        </w:category>
        <w:types>
          <w:type w:val="bbPlcHdr"/>
        </w:types>
        <w:behaviors>
          <w:behavior w:val="content"/>
        </w:behaviors>
        <w:description w:val=""/>
        <w:guid w:val="{B5C46E76-0230-45DC-A18F-A219F63E7E78}"/>
      </w:docPartPr>
      <w:docPartBody>
        <w:p>
          <w:pPr>
            <w:pStyle w:val="6"/>
          </w:pPr>
          <w:r>
            <w:rPr>
              <w:rStyle w:val="4"/>
              <w:rFonts w:hint="eastAsia"/>
            </w:rPr>
            <w:t>选择一项。</w:t>
          </w:r>
        </w:p>
      </w:docPartBody>
    </w:docPart>
    <w:docPart>
      <w:docPartPr>
        <w:name w:val="9925A0CFE7404F0BA590994CDC3F71A2"/>
        <w:style w:val=""/>
        <w:category>
          <w:name w:val="常规"/>
          <w:gallery w:val="placeholder"/>
        </w:category>
        <w:types>
          <w:type w:val="bbPlcHdr"/>
        </w:types>
        <w:behaviors>
          <w:behavior w:val="content"/>
        </w:behaviors>
        <w:description w:val=""/>
        <w:guid w:val="{C2F09A0A-6390-41E1-8D6B-B518CBED98F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45AE"/>
    <w:rsid w:val="00125BB9"/>
    <w:rsid w:val="004745AE"/>
    <w:rsid w:val="00685E4C"/>
    <w:rsid w:val="009A0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9AC25DD643E41AE81BCE37B46CADE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42669874C4C43238C0F59477C5708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925A0CFE7404F0BA590994CDC3F71A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1AC35-3B5F-45F4-8B43-D2796CED262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672</Words>
  <Characters>3832</Characters>
  <Lines>31</Lines>
  <Paragraphs>8</Paragraphs>
  <TotalTime>510</TotalTime>
  <ScaleCrop>false</ScaleCrop>
  <LinksUpToDate>false</LinksUpToDate>
  <CharactersWithSpaces>4496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2021-03-22T00:20:00Z</dcterms:created>
  <dc:creator>USER</dc:creator>
  <dc:description>&lt;config cover="true" show_menu="true" version="1.0.0" doctype="SDKXY"&gt;_x000d_
&lt;/config&gt;</dc:description>
  <cp:lastModifiedBy>酒满</cp:lastModifiedBy>
  <cp:lastPrinted>2021-02-02T08:22:00Z</cp:lastPrinted>
  <dcterms:modified xsi:type="dcterms:W3CDTF">2021-04-13T08:48:33Z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2052-11.1.0.10463</vt:lpwstr>
  </property>
  <property fmtid="{D5CDD505-2E9C-101B-9397-08002B2CF9AE}" pid="16" name="ICV">
    <vt:lpwstr>96DE7F6A953B4305A7AC729695561739</vt:lpwstr>
  </property>
</Properties>
</file>